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82CBC" w14:textId="73128CF3" w:rsidR="00B37C3F" w:rsidRDefault="00173674">
      <w:r>
        <w:rPr>
          <w:noProof/>
        </w:rPr>
        <w:drawing>
          <wp:inline distT="0" distB="0" distL="0" distR="0" wp14:anchorId="0BA6C1AF" wp14:editId="29C48441">
            <wp:extent cx="5760720" cy="49034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34A926.tmp"/>
                    <pic:cNvPicPr/>
                  </pic:nvPicPr>
                  <pic:blipFill>
                    <a:blip r:embed="rId4">
                      <a:extLst>
                        <a:ext uri="{28A0092B-C50C-407E-A947-70E740481C1C}">
                          <a14:useLocalDpi xmlns:a14="http://schemas.microsoft.com/office/drawing/2010/main" val="0"/>
                        </a:ext>
                      </a:extLst>
                    </a:blip>
                    <a:stretch>
                      <a:fillRect/>
                    </a:stretch>
                  </pic:blipFill>
                  <pic:spPr>
                    <a:xfrm>
                      <a:off x="0" y="0"/>
                      <a:ext cx="5760720" cy="4903470"/>
                    </a:xfrm>
                    <a:prstGeom prst="rect">
                      <a:avLst/>
                    </a:prstGeom>
                  </pic:spPr>
                </pic:pic>
              </a:graphicData>
            </a:graphic>
          </wp:inline>
        </w:drawing>
      </w:r>
    </w:p>
    <w:p w14:paraId="29B63BBB" w14:textId="6064DC1B" w:rsidR="00173674" w:rsidRDefault="00173674">
      <w:r>
        <w:rPr>
          <w:noProof/>
        </w:rPr>
        <w:drawing>
          <wp:inline distT="0" distB="0" distL="0" distR="0" wp14:anchorId="0709F3DB" wp14:editId="1FDC458C">
            <wp:extent cx="5760720" cy="36963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342879.tmp"/>
                    <pic:cNvPicPr/>
                  </pic:nvPicPr>
                  <pic:blipFill>
                    <a:blip r:embed="rId5">
                      <a:extLst>
                        <a:ext uri="{28A0092B-C50C-407E-A947-70E740481C1C}">
                          <a14:useLocalDpi xmlns:a14="http://schemas.microsoft.com/office/drawing/2010/main" val="0"/>
                        </a:ext>
                      </a:extLst>
                    </a:blip>
                    <a:stretch>
                      <a:fillRect/>
                    </a:stretch>
                  </pic:blipFill>
                  <pic:spPr>
                    <a:xfrm>
                      <a:off x="0" y="0"/>
                      <a:ext cx="5760720" cy="3696335"/>
                    </a:xfrm>
                    <a:prstGeom prst="rect">
                      <a:avLst/>
                    </a:prstGeom>
                  </pic:spPr>
                </pic:pic>
              </a:graphicData>
            </a:graphic>
          </wp:inline>
        </w:drawing>
      </w:r>
    </w:p>
    <w:p w14:paraId="185CE641" w14:textId="4A345BA3" w:rsidR="00173674" w:rsidRDefault="00173674">
      <w:r>
        <w:rPr>
          <w:noProof/>
        </w:rPr>
        <w:lastRenderedPageBreak/>
        <w:drawing>
          <wp:inline distT="0" distB="0" distL="0" distR="0" wp14:anchorId="61C88BAC" wp14:editId="4DD39CD4">
            <wp:extent cx="5760720" cy="307784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341584.tmp"/>
                    <pic:cNvPicPr/>
                  </pic:nvPicPr>
                  <pic:blipFill>
                    <a:blip r:embed="rId6">
                      <a:extLst>
                        <a:ext uri="{28A0092B-C50C-407E-A947-70E740481C1C}">
                          <a14:useLocalDpi xmlns:a14="http://schemas.microsoft.com/office/drawing/2010/main" val="0"/>
                        </a:ext>
                      </a:extLst>
                    </a:blip>
                    <a:stretch>
                      <a:fillRect/>
                    </a:stretch>
                  </pic:blipFill>
                  <pic:spPr>
                    <a:xfrm>
                      <a:off x="0" y="0"/>
                      <a:ext cx="5760720" cy="3077845"/>
                    </a:xfrm>
                    <a:prstGeom prst="rect">
                      <a:avLst/>
                    </a:prstGeom>
                  </pic:spPr>
                </pic:pic>
              </a:graphicData>
            </a:graphic>
          </wp:inline>
        </w:drawing>
      </w:r>
    </w:p>
    <w:p w14:paraId="55AC6843" w14:textId="4C12A0DE" w:rsidR="00173674" w:rsidRDefault="00173674"/>
    <w:p w14:paraId="01B24A1B" w14:textId="5680382E" w:rsidR="00173674" w:rsidRDefault="00173674">
      <w:pPr>
        <w:rPr>
          <w:rFonts w:ascii="Arial" w:hAnsi="Arial" w:cs="Arial"/>
          <w:color w:val="35353F"/>
          <w:shd w:val="clear" w:color="auto" w:fill="FFFFFF"/>
        </w:rPr>
      </w:pPr>
      <w:r>
        <w:rPr>
          <w:rFonts w:ascii="Arial" w:hAnsi="Arial" w:cs="Arial"/>
          <w:color w:val="35353F"/>
          <w:shd w:val="clear" w:color="auto" w:fill="FFFFFF"/>
        </w:rPr>
        <w:t>Aussi, pour être tranquille, évitez de vous exprimer ou d’écrire sous le coup de la colère, tentez d’argumenter vos dires en les étayant de preuves, et surtout ne parlez pas dans le seul but de nuire.</w:t>
      </w:r>
    </w:p>
    <w:p w14:paraId="0FF82431" w14:textId="3D91195C" w:rsidR="00173674" w:rsidRDefault="00173674">
      <w:pPr>
        <w:rPr>
          <w:rFonts w:ascii="Arial" w:hAnsi="Arial" w:cs="Arial"/>
          <w:color w:val="35353F"/>
          <w:shd w:val="clear" w:color="auto" w:fill="FFFFFF"/>
        </w:rPr>
      </w:pPr>
    </w:p>
    <w:p w14:paraId="0286A2B0" w14:textId="6392F598" w:rsidR="00173674" w:rsidRDefault="00173674">
      <w:r>
        <w:rPr>
          <w:noProof/>
        </w:rPr>
        <w:lastRenderedPageBreak/>
        <w:drawing>
          <wp:inline distT="0" distB="0" distL="0" distR="0" wp14:anchorId="70220982" wp14:editId="1633FD8E">
            <wp:extent cx="5760720" cy="54178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34FAAC.tmp"/>
                    <pic:cNvPicPr/>
                  </pic:nvPicPr>
                  <pic:blipFill>
                    <a:blip r:embed="rId7">
                      <a:extLst>
                        <a:ext uri="{28A0092B-C50C-407E-A947-70E740481C1C}">
                          <a14:useLocalDpi xmlns:a14="http://schemas.microsoft.com/office/drawing/2010/main" val="0"/>
                        </a:ext>
                      </a:extLst>
                    </a:blip>
                    <a:stretch>
                      <a:fillRect/>
                    </a:stretch>
                  </pic:blipFill>
                  <pic:spPr>
                    <a:xfrm>
                      <a:off x="0" y="0"/>
                      <a:ext cx="5760720" cy="5417820"/>
                    </a:xfrm>
                    <a:prstGeom prst="rect">
                      <a:avLst/>
                    </a:prstGeom>
                  </pic:spPr>
                </pic:pic>
              </a:graphicData>
            </a:graphic>
          </wp:inline>
        </w:drawing>
      </w:r>
    </w:p>
    <w:p w14:paraId="17E4AD3A" w14:textId="2C2DFFED" w:rsidR="00173674" w:rsidRDefault="00173674"/>
    <w:p w14:paraId="7BBFF1F3" w14:textId="20E062B7" w:rsidR="00173674" w:rsidRDefault="00173674">
      <w:pPr>
        <w:rPr>
          <w:rFonts w:ascii="open sans" w:hAnsi="open sans"/>
          <w:color w:val="5E5E5E"/>
          <w:sz w:val="21"/>
          <w:szCs w:val="21"/>
          <w:shd w:val="clear" w:color="auto" w:fill="FFFFFF"/>
        </w:rPr>
      </w:pPr>
      <w:r>
        <w:rPr>
          <w:rFonts w:ascii="open sans" w:hAnsi="open sans"/>
          <w:color w:val="5E5E5E"/>
          <w:sz w:val="21"/>
          <w:szCs w:val="21"/>
          <w:shd w:val="clear" w:color="auto" w:fill="FFFFFF"/>
        </w:rPr>
        <w:t>Le harcèlement moral peut être retenu même s’il est collectif,</w:t>
      </w:r>
    </w:p>
    <w:p w14:paraId="5B37D454" w14:textId="4764BC8C" w:rsidR="00173674" w:rsidRDefault="00173674">
      <w:hyperlink r:id="rId8" w:history="1">
        <w:r>
          <w:rPr>
            <w:rStyle w:val="Lienhypertexte"/>
          </w:rPr>
          <w:t>http://www.cgtcanon.com/guide%20pratique/Harcelement%20Moral%20Collectif.htm</w:t>
        </w:r>
      </w:hyperlink>
    </w:p>
    <w:p w14:paraId="7EA21C20" w14:textId="5B399657" w:rsidR="00173674" w:rsidRDefault="00173674">
      <w:pPr>
        <w:rPr>
          <w:rFonts w:ascii="Helvetica" w:hAnsi="Helvetica" w:cs="Helvetica"/>
          <w:color w:val="666666"/>
          <w:sz w:val="27"/>
          <w:szCs w:val="27"/>
          <w:shd w:val="clear" w:color="auto" w:fill="FFFFFF"/>
        </w:rPr>
      </w:pPr>
      <w:r>
        <w:rPr>
          <w:rFonts w:ascii="Helvetica" w:hAnsi="Helvetica" w:cs="Helvetica"/>
          <w:i/>
          <w:iCs/>
          <w:color w:val="666666"/>
          <w:sz w:val="27"/>
          <w:szCs w:val="27"/>
          <w:shd w:val="clear" w:color="auto" w:fill="FFFFFF"/>
        </w:rPr>
        <w:t>Il est possible de détruire quelqu’un juste avec des mots, des regards, des sous-entendus : cela se nomme violence perverse ou harcèlement moral."</w:t>
      </w:r>
      <w:r>
        <w:rPr>
          <w:rFonts w:ascii="Helvetica" w:hAnsi="Helvetica" w:cs="Helvetica"/>
          <w:color w:val="666666"/>
          <w:sz w:val="27"/>
          <w:szCs w:val="27"/>
          <w:shd w:val="clear" w:color="auto" w:fill="FFFFFF"/>
        </w:rPr>
        <w:t xml:space="preserve">, Marie-France </w:t>
      </w:r>
      <w:proofErr w:type="spellStart"/>
      <w:r>
        <w:rPr>
          <w:rFonts w:ascii="Helvetica" w:hAnsi="Helvetica" w:cs="Helvetica"/>
          <w:color w:val="666666"/>
          <w:sz w:val="27"/>
          <w:szCs w:val="27"/>
          <w:shd w:val="clear" w:color="auto" w:fill="FFFFFF"/>
        </w:rPr>
        <w:t>Hirigoyen</w:t>
      </w:r>
      <w:proofErr w:type="spellEnd"/>
      <w:r>
        <w:rPr>
          <w:rFonts w:ascii="Helvetica" w:hAnsi="Helvetica" w:cs="Helvetica"/>
          <w:color w:val="666666"/>
          <w:sz w:val="27"/>
          <w:szCs w:val="27"/>
          <w:shd w:val="clear" w:color="auto" w:fill="FFFFFF"/>
        </w:rPr>
        <w:t>.</w:t>
      </w:r>
      <w:r>
        <w:rPr>
          <w:rFonts w:ascii="Helvetica" w:hAnsi="Helvetica" w:cs="Helvetica"/>
          <w:color w:val="666666"/>
          <w:sz w:val="27"/>
          <w:szCs w:val="27"/>
          <w:shd w:val="clear" w:color="auto" w:fill="FFFFFF"/>
        </w:rPr>
        <w:t xml:space="preserve"> Spécialiste en </w:t>
      </w:r>
      <w:proofErr w:type="spellStart"/>
      <w:r>
        <w:rPr>
          <w:rFonts w:ascii="Helvetica" w:hAnsi="Helvetica" w:cs="Helvetica"/>
          <w:color w:val="666666"/>
          <w:sz w:val="27"/>
          <w:szCs w:val="27"/>
          <w:shd w:val="clear" w:color="auto" w:fill="FFFFFF"/>
        </w:rPr>
        <w:t>psycolgiedu</w:t>
      </w:r>
      <w:proofErr w:type="spellEnd"/>
      <w:r>
        <w:rPr>
          <w:rFonts w:ascii="Helvetica" w:hAnsi="Helvetica" w:cs="Helvetica"/>
          <w:color w:val="666666"/>
          <w:sz w:val="27"/>
          <w:szCs w:val="27"/>
          <w:shd w:val="clear" w:color="auto" w:fill="FFFFFF"/>
        </w:rPr>
        <w:t xml:space="preserve"> travail</w:t>
      </w:r>
    </w:p>
    <w:p w14:paraId="4B4961F8" w14:textId="5940432E" w:rsidR="00173674" w:rsidRDefault="00173674">
      <w:pPr>
        <w:rPr>
          <w:rFonts w:ascii="Helvetica" w:hAnsi="Helvetica" w:cs="Helvetica"/>
          <w:color w:val="666666"/>
          <w:sz w:val="27"/>
          <w:szCs w:val="27"/>
          <w:shd w:val="clear" w:color="auto" w:fill="FFFFFF"/>
        </w:rPr>
      </w:pPr>
    </w:p>
    <w:p w14:paraId="115E1E9F" w14:textId="3F995187" w:rsidR="00173674" w:rsidRDefault="00173674">
      <w:pPr>
        <w:rPr>
          <w:rFonts w:ascii="Helvetica" w:hAnsi="Helvetica" w:cs="Helvetica"/>
          <w:color w:val="666666"/>
          <w:sz w:val="27"/>
          <w:szCs w:val="27"/>
          <w:shd w:val="clear" w:color="auto" w:fill="FFFFFF"/>
        </w:rPr>
      </w:pPr>
      <w:r>
        <w:rPr>
          <w:rFonts w:ascii="Helvetica" w:hAnsi="Helvetica" w:cs="Helvetica"/>
          <w:color w:val="666666"/>
          <w:sz w:val="27"/>
          <w:szCs w:val="27"/>
          <w:shd w:val="clear" w:color="auto" w:fill="FFFFFF"/>
        </w:rPr>
        <w:t>L’article L1152-1 du Code du travail, tel qu’il résulte de l’ordonnance n° 2007-329 du 12 mars 2007 relative au code du travail dispose que :</w:t>
      </w:r>
      <w:r>
        <w:rPr>
          <w:rFonts w:ascii="Helvetica" w:hAnsi="Helvetica" w:cs="Helvetica"/>
          <w:color w:val="666666"/>
          <w:sz w:val="27"/>
          <w:szCs w:val="27"/>
        </w:rPr>
        <w:br/>
      </w:r>
      <w:r>
        <w:rPr>
          <w:rFonts w:ascii="Helvetica" w:hAnsi="Helvetica" w:cs="Helvetica"/>
          <w:color w:val="666666"/>
          <w:sz w:val="27"/>
          <w:szCs w:val="27"/>
          <w:shd w:val="clear" w:color="auto" w:fill="FFFFFF"/>
        </w:rPr>
        <w:t>« </w:t>
      </w:r>
      <w:r>
        <w:rPr>
          <w:rFonts w:ascii="Helvetica" w:hAnsi="Helvetica" w:cs="Helvetica"/>
          <w:i/>
          <w:iCs/>
          <w:color w:val="666666"/>
          <w:sz w:val="27"/>
          <w:szCs w:val="27"/>
          <w:shd w:val="clear" w:color="auto" w:fill="FFFFFF"/>
        </w:rPr>
        <w:t>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r>
        <w:rPr>
          <w:rFonts w:ascii="Helvetica" w:hAnsi="Helvetica" w:cs="Helvetica"/>
          <w:color w:val="666666"/>
          <w:sz w:val="27"/>
          <w:szCs w:val="27"/>
          <w:shd w:val="clear" w:color="auto" w:fill="FFFFFF"/>
        </w:rPr>
        <w:t> »</w:t>
      </w:r>
    </w:p>
    <w:p w14:paraId="77D9883F" w14:textId="167F1E97" w:rsidR="00173674" w:rsidRDefault="00173674">
      <w:hyperlink r:id="rId9" w:history="1">
        <w:r>
          <w:rPr>
            <w:rStyle w:val="Lienhypertexte"/>
          </w:rPr>
          <w:t>https://www.village-justice.com/articles/harcelement-moral-travail-par,18633.html</w:t>
        </w:r>
      </w:hyperlink>
    </w:p>
    <w:p w14:paraId="25C53BD5" w14:textId="1A951DF8" w:rsidR="00173674" w:rsidRDefault="00173674"/>
    <w:p w14:paraId="65AB606C" w14:textId="3C42190F" w:rsidR="00173674" w:rsidRDefault="00173674">
      <w:r>
        <w:rPr>
          <w:rFonts w:ascii="Helvetica" w:hAnsi="Helvetica" w:cs="Helvetica"/>
          <w:color w:val="666666"/>
          <w:sz w:val="27"/>
          <w:szCs w:val="27"/>
          <w:shd w:val="clear" w:color="auto" w:fill="FFFFFF"/>
        </w:rPr>
        <w:t>L’employeur est tenu de prendre les mesures nécessaires à la prévention des risques professionnels liés au harcèlement moral. Il doit prendre des mesures pour mettre un terme aux actes de harcèlement commis par un salarié protégé, dont les agissements sortent du cadre de la fonction assignée par son mandat. A défaut, l’employeur engage sa responsabilité personnelle à l’égard de ses subordonnés du fait de son inaction.</w:t>
      </w:r>
      <w:r>
        <w:rPr>
          <w:rStyle w:val="spipnoteref"/>
          <w:rFonts w:ascii="Helvetica" w:hAnsi="Helvetica" w:cs="Helvetica"/>
          <w:sz w:val="27"/>
          <w:szCs w:val="27"/>
          <w:shd w:val="clear" w:color="auto" w:fill="FFFFFF"/>
        </w:rPr>
        <w:t> [</w:t>
      </w:r>
      <w:hyperlink r:id="rId10" w:anchor="nb2-36" w:tooltip="Cour de Cassation, Chambre Criminelle, arrêt du 28 mai 2013, n° (...)" w:history="1">
        <w:r>
          <w:rPr>
            <w:rStyle w:val="Lienhypertexte"/>
            <w:rFonts w:ascii="Helvetica" w:hAnsi="Helvetica" w:cs="Helvetica"/>
            <w:b/>
            <w:bCs/>
            <w:sz w:val="27"/>
            <w:szCs w:val="27"/>
          </w:rPr>
          <w:t>36</w:t>
        </w:r>
      </w:hyperlink>
      <w:r>
        <w:rPr>
          <w:rStyle w:val="spipnoteref"/>
          <w:rFonts w:ascii="Helvetica" w:hAnsi="Helvetica" w:cs="Helvetica"/>
          <w:sz w:val="27"/>
          <w:szCs w:val="27"/>
          <w:shd w:val="clear" w:color="auto" w:fill="FFFFFF"/>
        </w:rPr>
        <w:t>]</w:t>
      </w:r>
    </w:p>
    <w:sectPr w:rsidR="00173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74"/>
    <w:rsid w:val="00173674"/>
    <w:rsid w:val="00B37C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D7E5"/>
  <w15:chartTrackingRefBased/>
  <w15:docId w15:val="{BA241963-BC47-453F-B872-29F68ABB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73674"/>
    <w:rPr>
      <w:color w:val="0000FF"/>
      <w:u w:val="single"/>
    </w:rPr>
  </w:style>
  <w:style w:type="character" w:customStyle="1" w:styleId="spipnoteref">
    <w:name w:val="spip_note_ref"/>
    <w:basedOn w:val="Policepardfaut"/>
    <w:rsid w:val="00173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tcanon.com/guide%20pratique/Harcelement%20Moral%20Collectif.htm" TargetMode="External"/><Relationship Id="rId3" Type="http://schemas.openxmlformats.org/officeDocument/2006/relationships/webSettings" Target="webSettings.xml"/><Relationship Id="rId7" Type="http://schemas.openxmlformats.org/officeDocument/2006/relationships/image" Target="media/image4.tm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11" Type="http://schemas.openxmlformats.org/officeDocument/2006/relationships/fontTable" Target="fontTable.xml"/><Relationship Id="rId5" Type="http://schemas.openxmlformats.org/officeDocument/2006/relationships/image" Target="media/image2.tmp"/><Relationship Id="rId10" Type="http://schemas.openxmlformats.org/officeDocument/2006/relationships/hyperlink" Target="https://www.village-justice.com/articles/harcelement-moral-travail-par,18633.html" TargetMode="External"/><Relationship Id="rId4" Type="http://schemas.openxmlformats.org/officeDocument/2006/relationships/image" Target="media/image1.tmp"/><Relationship Id="rId9" Type="http://schemas.openxmlformats.org/officeDocument/2006/relationships/hyperlink" Target="https://www.village-justice.com/articles/harcelement-moral-travail-par,1863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290</Words>
  <Characters>1597</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cp:revision>
  <dcterms:created xsi:type="dcterms:W3CDTF">2020-06-25T20:59:00Z</dcterms:created>
  <dcterms:modified xsi:type="dcterms:W3CDTF">2020-06-25T21:15:00Z</dcterms:modified>
</cp:coreProperties>
</file>