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This is a new paragraph.</w:t>
      </w:r>
      <w:r>
        <w:t xml:space="preserve"> This is the next sentence.</w:t>
      </w:r>
      <w:r>
        <w:rPr>
          <w:b/>
        </w:rPr>
        <w:t xml:space="preserve"> This is a bold sentence.</w:t>
      </w:r>
      <w:r>
        <w:rPr>
          <w:i/>
        </w:rPr>
        <w:t>This is in italics.</w:t>
      </w:r>
      <w:r>
        <w:rPr>
          <w:u w:val="single"/>
        </w:rPr>
        <w:t>This is underlined.</w:t>
      </w:r>
    </w:p>
    <w:p>
      <w:pPr>
        <w:pStyle w:val="Title"/>
      </w:pPr>
      <w:r>
        <w:t>NCVxxxxx Digital Verification Test Plan</w:t>
      </w:r>
    </w:p>
    <w:p>
      <w:pPr>
        <w:spacing w:before="400"/>
        <w:jc w:val="both"/>
      </w:pPr>
      <w:r>
        <w:t>flmgglglgfggkgklgklmgkldklbklkssksdfmldfkdfdkgdldlfgdlfdlffgfdlmlgdfg</w:t>
      </w:r>
      <w:r>
        <w:rPr>
          <w:b/>
        </w:rPr>
        <w:t>bold</w:t>
      </w:r>
      <w:r>
        <w:t xml:space="preserve"> and some </w:t>
      </w:r>
      <w:r>
        <w:rPr>
          <w:i/>
        </w:rPr>
        <w:t>italic.</w:t>
      </w:r>
      <w:r>
        <w:t xml:space="preserve"> and some fdf lkjdfksqjfk lsgjsdkgskg fgqgkjqglkqsj  fglkjglkqjgjfg lkjgkqlgjqgj  </w:t>
      </w:r>
    </w:p>
    <w:p>
      <w:pPr>
        <w:spacing w:before="760"/>
        <w:jc w:val="both"/>
      </w:pPr>
      <w:r>
        <w:t xml:space="preserve">Suite du programme A plain paragraph having some </w:t>
      </w:r>
      <w:r>
        <w:rPr>
          <w:b/>
        </w:rPr>
        <w:t>bold</w:t>
      </w:r>
      <w:r>
        <w:t xml:space="preserve"> and some </w:t>
      </w:r>
      <w:r>
        <w:rPr>
          <w:i/>
        </w:rPr>
        <w:t>italic.</w:t>
      </w:r>
      <w:r>
        <w:t xml:space="preserve"> and some fdf lkjdfksqjfk lsgjsdkgskg fgqgkjqglkqsj  fglkjglkqjgjfg lkjgkqlgjqgj  </w:t>
      </w:r>
    </w:p>
    <w:p>
      <w:pPr>
        <w:pStyle w:val="Heading1"/>
      </w:pPr>
      <w:r>
        <w:t>2: I2C Regs</w:t>
      </w:r>
    </w:p>
    <w:p>
      <w:pPr>
        <w:pStyle w:val="Heading2"/>
      </w:pPr>
      <w:r>
        <w:t>2.1 I2C defaults</w:t>
      </w:r>
    </w:p>
    <w:p>
      <w:r>
        <w:rPr>
          <w:b/>
        </w:rPr>
        <w:t>DESCRIPTION:</w:t>
      </w:r>
    </w:p>
    <w:p>
      <w:r>
        <w:t>Verify defaults of I2C registers are in line with specified ones.</w:t>
      </w:r>
    </w:p>
    <w:p>
      <w:r>
        <w:rPr>
          <w:u w:val="single"/>
        </w:rPr>
        <w:t>Test sequence:</w:t>
      </w:r>
    </w:p>
    <w:p>
      <w:pPr>
        <w:pStyle w:val="ListContinue"/>
      </w:pPr>
      <w:r>
        <w:t>1. Perform reset</w:t>
      </w:r>
    </w:p>
    <w:p>
      <w:pPr>
        <w:pStyle w:val="ListContinue"/>
      </w:pPr>
      <w:r>
        <w:t>2. Force OTP config not fused</w:t>
      </w:r>
    </w:p>
    <w:p>
      <w:pPr>
        <w:pStyle w:val="ListContinue"/>
      </w:pPr>
      <w:r>
        <w:t>3. Start chip (POR release) and make EN pin high</w:t>
      </w:r>
    </w:p>
    <w:p>
      <w:pPr>
        <w:pStyle w:val="ListContinue"/>
      </w:pPr>
      <w:r>
        <w:t>4. Enter in test mode</w:t>
      </w:r>
    </w:p>
    <w:p>
      <w:pPr>
        <w:pStyle w:val="ListContinue"/>
      </w:pPr>
      <w:r>
        <w:t>5. Read all I2C registers and check the read value is equal to PTS expected value</w:t>
      </w:r>
    </w:p>
    <w:p>
      <w:r>
        <w:rPr>
          <w:b/>
        </w:rPr>
        <w:t xml:space="preserve">TESTCASE: </w:t>
      </w:r>
      <w:r>
        <w:t>default.v</w:t>
      </w:r>
    </w:p>
    <w:p>
      <w:r>
        <w:br w:type="page"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