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3A3" w:rsidRDefault="00AB23A3" w:rsidP="000D0A8E">
      <w:pPr>
        <w:spacing w:before="100" w:beforeAutospacing="1" w:after="100" w:afterAutospacing="1" w:line="240" w:lineRule="auto"/>
        <w:outlineLvl w:val="0"/>
      </w:pPr>
      <w:r>
        <w:t xml:space="preserve">Les juges constatent que </w:t>
      </w:r>
      <w:r>
        <w:rPr>
          <w:b/>
          <w:bCs/>
        </w:rPr>
        <w:t>la lettre de licenciement ne contenait pas l’adresse des services où la liste des conseillers pouvait être consultée</w:t>
      </w:r>
      <w:r>
        <w:t xml:space="preserve">. </w:t>
      </w:r>
      <w:r>
        <w:br/>
        <w:t>Ce manquement a occasionné un préjudice pour la salariée que l’employeur est tenu de réparer par l’</w:t>
      </w:r>
      <w:r>
        <w:rPr>
          <w:b/>
          <w:bCs/>
        </w:rPr>
        <w:t>attribution d’une indemnité</w:t>
      </w:r>
      <w:r>
        <w:rPr>
          <w:b/>
          <w:bCs/>
        </w:rPr>
        <w:t xml:space="preserve"> </w:t>
      </w:r>
      <w:r>
        <w:rPr>
          <w:b/>
          <w:bCs/>
        </w:rPr>
        <w:t>qui ne peut être supérieure à un mois de salaire</w:t>
      </w:r>
      <w:r>
        <w:t>, tel que le prévoit l’</w:t>
      </w:r>
      <w:hyperlink r:id="rId6" w:history="1">
        <w:r>
          <w:rPr>
            <w:rStyle w:val="Lienhypertexte"/>
          </w:rPr>
          <w:t>article L. 122-14-4 du Code du travail</w:t>
        </w:r>
      </w:hyperlink>
      <w:r>
        <w:t>.</w:t>
      </w:r>
    </w:p>
    <w:p w:rsidR="00AB23A3" w:rsidRPr="00AB23A3" w:rsidRDefault="00AB23A3" w:rsidP="00AB23A3">
      <w:pPr>
        <w:spacing w:after="0" w:line="240" w:lineRule="auto"/>
        <w:rPr>
          <w:rFonts w:ascii="Times New Roman" w:eastAsia="Times New Roman" w:hAnsi="Times New Roman" w:cs="Times New Roman"/>
          <w:sz w:val="24"/>
          <w:szCs w:val="24"/>
          <w:lang w:eastAsia="fr-FR"/>
        </w:rPr>
      </w:pPr>
      <w:r w:rsidRPr="00AB23A3">
        <w:rPr>
          <w:rFonts w:ascii="Times New Roman" w:eastAsia="Times New Roman" w:hAnsi="Times New Roman" w:cs="Times New Roman"/>
          <w:b/>
          <w:bCs/>
          <w:sz w:val="24"/>
          <w:szCs w:val="24"/>
          <w:lang w:eastAsia="fr-FR"/>
        </w:rPr>
        <w:t xml:space="preserve">Article de Loi : </w:t>
      </w:r>
      <w:r w:rsidRPr="00AB23A3">
        <w:rPr>
          <w:rFonts w:ascii="Times New Roman" w:eastAsia="Times New Roman" w:hAnsi="Times New Roman" w:cs="Times New Roman"/>
          <w:sz w:val="24"/>
          <w:szCs w:val="24"/>
          <w:lang w:eastAsia="fr-FR"/>
        </w:rPr>
        <w:br/>
        <w:t xml:space="preserve">Arrêt de la Chambre sociale de la Cour de cassation du 19 septembre 2007 – N° de pourvoi : 05-45605 </w:t>
      </w:r>
      <w:r w:rsidRPr="00AB23A3">
        <w:rPr>
          <w:rFonts w:ascii="Times New Roman" w:eastAsia="Times New Roman" w:hAnsi="Times New Roman" w:cs="Times New Roman"/>
          <w:b/>
          <w:bCs/>
          <w:sz w:val="24"/>
          <w:szCs w:val="24"/>
          <w:lang w:eastAsia="fr-FR"/>
        </w:rPr>
        <w:t xml:space="preserve">Pour aller plus loin : </w:t>
      </w:r>
    </w:p>
    <w:p w:rsidR="00AB23A3" w:rsidRDefault="00AB23A3" w:rsidP="00AB23A3">
      <w:pPr>
        <w:spacing w:before="100" w:beforeAutospacing="1" w:after="100" w:afterAutospacing="1" w:line="240" w:lineRule="auto"/>
        <w:outlineLvl w:val="0"/>
        <w:rPr>
          <w:rFonts w:ascii="Times New Roman" w:eastAsia="Times New Roman" w:hAnsi="Times New Roman" w:cs="Times New Roman"/>
          <w:sz w:val="24"/>
          <w:szCs w:val="24"/>
          <w:lang w:eastAsia="fr-FR"/>
        </w:rPr>
      </w:pPr>
      <w:r w:rsidRPr="00AB23A3">
        <w:rPr>
          <w:rFonts w:ascii="Times New Roman" w:eastAsia="Times New Roman" w:hAnsi="Symbol" w:cs="Times New Roman"/>
          <w:sz w:val="24"/>
          <w:szCs w:val="24"/>
          <w:lang w:eastAsia="fr-FR"/>
        </w:rPr>
        <w:t></w:t>
      </w:r>
      <w:r w:rsidRPr="00AB23A3">
        <w:rPr>
          <w:rFonts w:ascii="Times New Roman" w:eastAsia="Times New Roman" w:hAnsi="Times New Roman" w:cs="Times New Roman"/>
          <w:sz w:val="24"/>
          <w:szCs w:val="24"/>
          <w:lang w:eastAsia="fr-FR"/>
        </w:rPr>
        <w:t xml:space="preserve">  Cette indemnité ne se confond pas avec </w:t>
      </w:r>
      <w:hyperlink r:id="rId7" w:history="1">
        <w:r w:rsidRPr="00AB23A3">
          <w:rPr>
            <w:rFonts w:ascii="Times New Roman" w:eastAsia="Times New Roman" w:hAnsi="Times New Roman" w:cs="Times New Roman"/>
            <w:color w:val="0000FF"/>
            <w:sz w:val="24"/>
            <w:szCs w:val="24"/>
            <w:u w:val="single"/>
            <w:lang w:eastAsia="fr-FR"/>
          </w:rPr>
          <w:t xml:space="preserve">celle versée en cas de licenciement sans cause réelle et sérieuse. </w:t>
        </w:r>
      </w:hyperlink>
    </w:p>
    <w:p w:rsidR="00A75040" w:rsidRDefault="00A75040" w:rsidP="00AB23A3">
      <w:pPr>
        <w:spacing w:before="100" w:beforeAutospacing="1" w:after="100" w:afterAutospacing="1" w:line="240" w:lineRule="auto"/>
        <w:outlineLvl w:val="0"/>
        <w:rPr>
          <w:rFonts w:eastAsia="Times New Roman" w:cstheme="minorHAnsi"/>
          <w:b/>
          <w:bCs/>
          <w:kern w:val="36"/>
          <w:sz w:val="20"/>
          <w:szCs w:val="20"/>
          <w:lang w:eastAsia="fr-FR"/>
        </w:rPr>
      </w:pPr>
      <w:r>
        <w:t xml:space="preserve">Dans tous les cas, la lettre de </w:t>
      </w:r>
      <w:r>
        <w:rPr>
          <w:rStyle w:val="spipsurligne"/>
        </w:rPr>
        <w:t>convocation</w:t>
      </w:r>
      <w:r>
        <w:t xml:space="preserve"> à l’entretien préalable </w:t>
      </w:r>
      <w:r>
        <w:rPr>
          <w:rStyle w:val="spipsurligne"/>
        </w:rPr>
        <w:t>doit</w:t>
      </w:r>
      <w:r>
        <w:t xml:space="preserve"> comporter l’adresse des services de l’Etat qui tiennent à la disposition des salariés les listes des conseillers extérieurs.</w:t>
      </w:r>
    </w:p>
    <w:p w:rsidR="00D15647" w:rsidRPr="00D15647" w:rsidRDefault="00D15647" w:rsidP="00D15647">
      <w:pPr>
        <w:spacing w:before="100" w:beforeAutospacing="1" w:after="100" w:afterAutospacing="1" w:line="240" w:lineRule="auto"/>
        <w:rPr>
          <w:rFonts w:ascii="Times New Roman" w:eastAsia="Times New Roman" w:hAnsi="Times New Roman" w:cs="Times New Roman"/>
          <w:sz w:val="24"/>
          <w:szCs w:val="24"/>
          <w:lang w:eastAsia="fr-FR"/>
        </w:rPr>
      </w:pPr>
      <w:r w:rsidRPr="00D15647">
        <w:rPr>
          <w:rFonts w:ascii="Times New Roman" w:eastAsia="Times New Roman" w:hAnsi="Times New Roman" w:cs="Times New Roman"/>
          <w:b/>
          <w:bCs/>
          <w:sz w:val="24"/>
          <w:szCs w:val="24"/>
          <w:lang w:eastAsia="fr-FR"/>
        </w:rPr>
        <w:t>La possibilité pour le salarié de se faire assister lors de l’entretien</w:t>
      </w:r>
    </w:p>
    <w:p w:rsidR="00D15647" w:rsidRPr="00D15647" w:rsidRDefault="00D15647" w:rsidP="00D15647">
      <w:pPr>
        <w:spacing w:before="100" w:beforeAutospacing="1" w:after="100" w:afterAutospacing="1" w:line="240" w:lineRule="auto"/>
        <w:rPr>
          <w:rFonts w:ascii="Times New Roman" w:eastAsia="Times New Roman" w:hAnsi="Times New Roman" w:cs="Times New Roman"/>
          <w:sz w:val="24"/>
          <w:szCs w:val="24"/>
          <w:lang w:eastAsia="fr-FR"/>
        </w:rPr>
      </w:pPr>
      <w:r w:rsidRPr="00D15647">
        <w:rPr>
          <w:rFonts w:ascii="Times New Roman" w:eastAsia="Times New Roman" w:hAnsi="Times New Roman" w:cs="Times New Roman"/>
          <w:sz w:val="24"/>
          <w:szCs w:val="24"/>
          <w:lang w:eastAsia="fr-FR"/>
        </w:rPr>
        <w:t>Suivant l’article L 1232-4 du Code du Travail, "</w:t>
      </w:r>
      <w:r w:rsidRPr="00D15647">
        <w:rPr>
          <w:rFonts w:ascii="Times New Roman" w:eastAsia="Times New Roman" w:hAnsi="Times New Roman" w:cs="Times New Roman"/>
          <w:i/>
          <w:iCs/>
          <w:sz w:val="24"/>
          <w:szCs w:val="24"/>
          <w:lang w:eastAsia="fr-FR"/>
        </w:rPr>
        <w:t>Lors de son audition, le salarié peut se faire assister par une personne de son choix appartenant au personnel de l’entreprise. Lorsqu’il n’y a pas d’institutions représentatives du personnel dans l’entreprise, le salarié peut se faire assister soit par une personne de son choix appartenant au personnel de l’entreprise, soit par un conseiller du salarié choisi sur une liste dressée par l’autorité administrative. La lettre de convocation à l’entretien préalable adressée au salarié mentionne la possibilité de recourir à un conseiller du salarié et précise l’adresse des services dans lesquels la liste de ces conseillers est tenue à sa disposition".</w:t>
      </w:r>
    </w:p>
    <w:p w:rsidR="00D15647" w:rsidRPr="00D15647" w:rsidRDefault="00D15647" w:rsidP="00D15647">
      <w:pPr>
        <w:spacing w:before="100" w:beforeAutospacing="1" w:after="100" w:afterAutospacing="1" w:line="240" w:lineRule="auto"/>
        <w:rPr>
          <w:rFonts w:ascii="Times New Roman" w:eastAsia="Times New Roman" w:hAnsi="Times New Roman" w:cs="Times New Roman"/>
          <w:sz w:val="24"/>
          <w:szCs w:val="24"/>
          <w:lang w:eastAsia="fr-FR"/>
        </w:rPr>
      </w:pPr>
      <w:r w:rsidRPr="00D15647">
        <w:rPr>
          <w:rFonts w:ascii="Times New Roman" w:eastAsia="Times New Roman" w:hAnsi="Times New Roman" w:cs="Times New Roman"/>
          <w:sz w:val="24"/>
          <w:szCs w:val="24"/>
          <w:lang w:eastAsia="fr-FR"/>
        </w:rPr>
        <w:t>L’absence de cette faculté d’assistance dans la lettre de convocation rends cette dernière irrégulière ( Cass Soc 9 février 1977 N° 75-41053).</w:t>
      </w:r>
    </w:p>
    <w:p w:rsidR="00E3778C" w:rsidRPr="00E3778C" w:rsidRDefault="00E3778C" w:rsidP="00E3778C">
      <w:pPr>
        <w:spacing w:after="0" w:line="240" w:lineRule="auto"/>
        <w:rPr>
          <w:rFonts w:ascii="Times New Roman" w:eastAsia="Times New Roman" w:hAnsi="Times New Roman" w:cs="Times New Roman"/>
          <w:sz w:val="24"/>
          <w:szCs w:val="24"/>
          <w:lang w:eastAsia="fr-FR"/>
        </w:rPr>
      </w:pPr>
      <w:r w:rsidRPr="00E3778C">
        <w:rPr>
          <w:rFonts w:ascii="Times New Roman" w:eastAsia="Times New Roman" w:hAnsi="Times New Roman" w:cs="Times New Roman"/>
          <w:sz w:val="24"/>
          <w:szCs w:val="24"/>
          <w:lang w:eastAsia="fr-FR"/>
        </w:rPr>
        <w:t>Cette possibilité d'être assisté par un conseiller extérieur n'est prévue que dans le cas d'un éventuel licenciement, pas pour une sanction moins lourde.</w:t>
      </w:r>
    </w:p>
    <w:p w:rsidR="00E3778C" w:rsidRPr="00E3778C" w:rsidRDefault="00E3778C" w:rsidP="00E3778C">
      <w:pPr>
        <w:spacing w:after="0" w:line="240" w:lineRule="auto"/>
        <w:rPr>
          <w:rFonts w:ascii="Times New Roman" w:eastAsia="Times New Roman" w:hAnsi="Times New Roman" w:cs="Times New Roman"/>
          <w:sz w:val="24"/>
          <w:szCs w:val="24"/>
          <w:lang w:eastAsia="fr-FR"/>
        </w:rPr>
      </w:pPr>
      <w:r w:rsidRPr="00E3778C">
        <w:rPr>
          <w:rFonts w:ascii="Times New Roman" w:eastAsia="Times New Roman" w:hAnsi="Times New Roman" w:cs="Times New Roman"/>
          <w:sz w:val="24"/>
          <w:szCs w:val="24"/>
          <w:lang w:eastAsia="fr-FR"/>
        </w:rPr>
        <w:t>Vous devez joindre dans votre convocation les adresses correspondantes.</w:t>
      </w:r>
      <w:r w:rsidRPr="00E3778C">
        <w:rPr>
          <w:rFonts w:ascii="Times New Roman" w:eastAsia="Times New Roman" w:hAnsi="Times New Roman" w:cs="Times New Roman"/>
          <w:sz w:val="24"/>
          <w:szCs w:val="24"/>
          <w:lang w:eastAsia="fr-FR"/>
        </w:rPr>
        <w:br/>
      </w:r>
      <w:r w:rsidRPr="00E3778C">
        <w:rPr>
          <w:rFonts w:ascii="Times New Roman" w:eastAsia="Times New Roman" w:hAnsi="Times New Roman" w:cs="Times New Roman"/>
          <w:sz w:val="24"/>
          <w:szCs w:val="24"/>
          <w:lang w:eastAsia="fr-FR"/>
        </w:rPr>
        <w:br/>
        <w:t>Si vous omettez une de ces mentions, ou si vous ne précisez pas les adresses auxquelles le salarié peut consulter la liste des conseillers extérieurs, la procédure de licenciement sera jugée irrégulière… mais pas annulée.</w:t>
      </w:r>
      <w:r w:rsidRPr="00E3778C">
        <w:rPr>
          <w:rFonts w:ascii="Times New Roman" w:eastAsia="Times New Roman" w:hAnsi="Times New Roman" w:cs="Times New Roman"/>
          <w:sz w:val="24"/>
          <w:szCs w:val="24"/>
          <w:lang w:eastAsia="fr-FR"/>
        </w:rPr>
        <w:br/>
      </w:r>
      <w:r w:rsidRPr="00E3778C">
        <w:rPr>
          <w:rFonts w:ascii="Times New Roman" w:eastAsia="Times New Roman" w:hAnsi="Times New Roman" w:cs="Times New Roman"/>
          <w:sz w:val="24"/>
          <w:szCs w:val="24"/>
          <w:lang w:eastAsia="fr-FR"/>
        </w:rPr>
        <w:br/>
        <w:t>Vous risquez alors de devoir payer une indemnité au salarié d’un montant maximum d’un mois de salaire. Il n’est pas nécessaire que le salarié prouve qu’il a subi un préjudice pour cela.</w:t>
      </w:r>
      <w:r w:rsidRPr="00E3778C">
        <w:rPr>
          <w:rFonts w:ascii="Times New Roman" w:eastAsia="Times New Roman" w:hAnsi="Times New Roman" w:cs="Times New Roman"/>
          <w:sz w:val="24"/>
          <w:szCs w:val="24"/>
          <w:lang w:eastAsia="fr-FR"/>
        </w:rPr>
        <w:br/>
      </w:r>
      <w:r w:rsidRPr="00E3778C">
        <w:rPr>
          <w:rFonts w:ascii="Times New Roman" w:eastAsia="Times New Roman" w:hAnsi="Times New Roman" w:cs="Times New Roman"/>
          <w:sz w:val="24"/>
          <w:szCs w:val="24"/>
          <w:lang w:eastAsia="fr-FR"/>
        </w:rPr>
        <w:br/>
      </w:r>
      <w:r w:rsidRPr="00E3778C">
        <w:rPr>
          <w:rFonts w:ascii="Times New Roman" w:eastAsia="Times New Roman" w:hAnsi="Times New Roman" w:cs="Times New Roman"/>
          <w:b/>
          <w:bCs/>
          <w:i/>
          <w:iCs/>
          <w:sz w:val="24"/>
          <w:szCs w:val="24"/>
          <w:lang w:eastAsia="fr-FR"/>
        </w:rPr>
        <w:t xml:space="preserve">Exemple : </w:t>
      </w:r>
    </w:p>
    <w:p w:rsidR="00E3778C" w:rsidRPr="00E3778C" w:rsidRDefault="00E3778C" w:rsidP="00E3778C">
      <w:pPr>
        <w:spacing w:after="0" w:line="240" w:lineRule="auto"/>
        <w:rPr>
          <w:rFonts w:ascii="Times New Roman" w:eastAsia="Times New Roman" w:hAnsi="Times New Roman" w:cs="Times New Roman"/>
          <w:sz w:val="24"/>
          <w:szCs w:val="24"/>
          <w:lang w:eastAsia="fr-FR"/>
        </w:rPr>
      </w:pPr>
      <w:r w:rsidRPr="00E3778C">
        <w:rPr>
          <w:rFonts w:ascii="Times New Roman" w:eastAsia="Times New Roman" w:hAnsi="Times New Roman" w:cs="Times New Roman"/>
          <w:i/>
          <w:iCs/>
          <w:sz w:val="24"/>
          <w:szCs w:val="24"/>
          <w:lang w:eastAsia="fr-FR"/>
        </w:rPr>
        <w:t>Un employeur a récemment été condamné pour ne pas avoir mentionné l’adresse de la mairie où la liste des conseillers extérieurs pouvait être consultée. Peu importe que le salarié se soit rendu à l’</w:t>
      </w:r>
      <w:hyperlink r:id="rId8" w:tgtFrame="_blank" w:history="1">
        <w:r w:rsidRPr="00E3778C">
          <w:rPr>
            <w:rFonts w:ascii="Times New Roman" w:eastAsia="Times New Roman" w:hAnsi="Times New Roman" w:cs="Times New Roman"/>
            <w:i/>
            <w:iCs/>
            <w:color w:val="0000FF"/>
            <w:sz w:val="24"/>
            <w:szCs w:val="24"/>
            <w:u w:val="single"/>
            <w:lang w:eastAsia="fr-FR"/>
          </w:rPr>
          <w:t>entretien préalable</w:t>
        </w:r>
      </w:hyperlink>
      <w:r w:rsidRPr="00E3778C">
        <w:rPr>
          <w:rFonts w:ascii="Times New Roman" w:eastAsia="Times New Roman" w:hAnsi="Times New Roman" w:cs="Times New Roman"/>
          <w:color w:val="0000FF"/>
          <w:sz w:val="24"/>
          <w:szCs w:val="24"/>
          <w:lang w:eastAsia="fr-FR"/>
        </w:rPr>
        <w:t xml:space="preserve"> </w:t>
      </w:r>
      <w:r w:rsidRPr="00E3778C">
        <w:rPr>
          <w:rFonts w:ascii="Times New Roman" w:eastAsia="Times New Roman" w:hAnsi="Times New Roman" w:cs="Times New Roman"/>
          <w:i/>
          <w:iCs/>
          <w:sz w:val="24"/>
          <w:szCs w:val="24"/>
          <w:lang w:eastAsia="fr-FR"/>
        </w:rPr>
        <w:t>accompagné d’un conseiller…</w:t>
      </w:r>
    </w:p>
    <w:p w:rsidR="00AB23A3" w:rsidRDefault="00AB23A3" w:rsidP="000D0A8E">
      <w:pPr>
        <w:spacing w:before="100" w:beforeAutospacing="1" w:after="100" w:afterAutospacing="1" w:line="240" w:lineRule="auto"/>
        <w:outlineLvl w:val="0"/>
        <w:rPr>
          <w:rFonts w:eastAsia="Times New Roman" w:cstheme="minorHAnsi"/>
          <w:b/>
          <w:bCs/>
          <w:kern w:val="36"/>
          <w:sz w:val="20"/>
          <w:szCs w:val="20"/>
          <w:lang w:eastAsia="fr-FR"/>
        </w:rPr>
      </w:pPr>
    </w:p>
    <w:p w:rsidR="00550BF6" w:rsidRDefault="00550BF6" w:rsidP="00550BF6">
      <w:pPr>
        <w:autoSpaceDE w:val="0"/>
        <w:autoSpaceDN w:val="0"/>
        <w:adjustRightInd w:val="0"/>
        <w:spacing w:after="0" w:line="240" w:lineRule="auto"/>
        <w:rPr>
          <w:rFonts w:ascii="Helvetica" w:hAnsi="Helvetica" w:cs="Helvetica"/>
          <w:sz w:val="23"/>
          <w:szCs w:val="23"/>
        </w:rPr>
      </w:pPr>
    </w:p>
    <w:p w:rsidR="00550BF6" w:rsidRDefault="004C3BAD" w:rsidP="00550BF6">
      <w:pPr>
        <w:autoSpaceDE w:val="0"/>
        <w:autoSpaceDN w:val="0"/>
        <w:adjustRightInd w:val="0"/>
        <w:spacing w:after="0" w:line="240" w:lineRule="auto"/>
        <w:rPr>
          <w:rFonts w:ascii="Helvetica" w:hAnsi="Helvetica" w:cs="Helvetica"/>
          <w:sz w:val="23"/>
          <w:szCs w:val="23"/>
        </w:rPr>
      </w:pPr>
      <w:r>
        <w:rPr>
          <w:rFonts w:ascii="Helvetica-Bold" w:hAnsi="Helvetica-Bold" w:cs="Helvetica-Bold"/>
          <w:b/>
          <w:bCs/>
          <w:sz w:val="23"/>
          <w:szCs w:val="23"/>
        </w:rPr>
        <w:lastRenderedPageBreak/>
        <w:t xml:space="preserve">La non-mention </w:t>
      </w:r>
      <w:r>
        <w:rPr>
          <w:rFonts w:ascii="Helvetica-Bold" w:hAnsi="Helvetica-Bold" w:cs="Helvetica-Bold"/>
          <w:b/>
          <w:bCs/>
          <w:sz w:val="23"/>
          <w:szCs w:val="23"/>
        </w:rPr>
        <w:t xml:space="preserve">de l’ </w:t>
      </w:r>
      <w:r w:rsidR="002F775B">
        <w:rPr>
          <w:rFonts w:ascii="Helvetica" w:hAnsi="Helvetica" w:cs="Helvetica"/>
          <w:sz w:val="23"/>
          <w:szCs w:val="23"/>
        </w:rPr>
        <w:t xml:space="preserve">Adresse </w:t>
      </w:r>
      <w:r w:rsidR="00550BF6">
        <w:rPr>
          <w:rFonts w:ascii="Helvetica" w:hAnsi="Helvetica" w:cs="Helvetica"/>
          <w:sz w:val="23"/>
          <w:szCs w:val="23"/>
        </w:rPr>
        <w:t>de l’Inspection du Travail du lieu de l’établissement, où peut être</w:t>
      </w:r>
      <w:r w:rsidR="00555AAC">
        <w:rPr>
          <w:rFonts w:ascii="Helvetica" w:hAnsi="Helvetica" w:cs="Helvetica"/>
          <w:sz w:val="23"/>
          <w:szCs w:val="23"/>
        </w:rPr>
        <w:t xml:space="preserve"> </w:t>
      </w:r>
      <w:r w:rsidR="00550BF6">
        <w:rPr>
          <w:rFonts w:ascii="Helvetica" w:hAnsi="Helvetica" w:cs="Helvetica"/>
          <w:sz w:val="23"/>
          <w:szCs w:val="23"/>
        </w:rPr>
        <w:t>consultée l’adresse des Conseillers extérieurs,</w:t>
      </w:r>
    </w:p>
    <w:p w:rsidR="00550BF6" w:rsidRDefault="00550BF6" w:rsidP="00550BF6">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est sanctionnée par une indemnité d’un mois maximum de salaires pour</w:t>
      </w:r>
    </w:p>
    <w:p w:rsidR="00550BF6" w:rsidRDefault="00550BF6" w:rsidP="00550BF6">
      <w:pPr>
        <w:spacing w:before="100" w:beforeAutospacing="1" w:after="100" w:afterAutospacing="1" w:line="240" w:lineRule="auto"/>
        <w:outlineLvl w:val="0"/>
        <w:rPr>
          <w:rFonts w:ascii="Helvetica" w:hAnsi="Helvetica" w:cs="Helvetica"/>
          <w:sz w:val="23"/>
          <w:szCs w:val="23"/>
        </w:rPr>
      </w:pPr>
      <w:r>
        <w:rPr>
          <w:rFonts w:ascii="Helvetica" w:hAnsi="Helvetica" w:cs="Helvetica"/>
          <w:sz w:val="23"/>
          <w:szCs w:val="23"/>
        </w:rPr>
        <w:t>défaut de procédure (art. L. 1235-2).</w:t>
      </w:r>
    </w:p>
    <w:p w:rsidR="007475DE" w:rsidRDefault="007475DE" w:rsidP="00550BF6">
      <w:pPr>
        <w:spacing w:before="100" w:beforeAutospacing="1" w:after="100" w:afterAutospacing="1" w:line="240" w:lineRule="auto"/>
        <w:outlineLvl w:val="0"/>
        <w:rPr>
          <w:rFonts w:ascii="Helvetica" w:hAnsi="Helvetica" w:cs="Helvetica"/>
          <w:sz w:val="23"/>
          <w:szCs w:val="23"/>
        </w:rPr>
      </w:pPr>
      <w:r>
        <w:t>Nous avons le regret de vous informer que nous envisageons votre licenciement.</w:t>
      </w:r>
    </w:p>
    <w:p w:rsidR="009717CC" w:rsidRDefault="009717CC" w:rsidP="00550BF6">
      <w:pPr>
        <w:spacing w:before="100" w:beforeAutospacing="1" w:after="100" w:afterAutospacing="1" w:line="240" w:lineRule="auto"/>
        <w:outlineLvl w:val="0"/>
      </w:pPr>
      <w:r>
        <w:t>L'article L.122-14 du Code du Travail stipule que la lettre de convocation "précise l'adresse des services où la liste des conseillers est tenue à la disposition des salariés". Si l'adresse de l'un ou l'autre ne figure pas sur la convocation, Vous pouvez faire valoir un vice de procédure (Cass.soc,, 29/04/.2003, n°01-41364).</w:t>
      </w:r>
    </w:p>
    <w:p w:rsidR="007475DE" w:rsidRDefault="007475DE" w:rsidP="00550BF6">
      <w:pPr>
        <w:spacing w:before="100" w:beforeAutospacing="1" w:after="100" w:afterAutospacing="1" w:line="240" w:lineRule="auto"/>
        <w:outlineLvl w:val="0"/>
      </w:pPr>
      <w:r>
        <w:t xml:space="preserve">En application de l’article L.122-14 du code du travail, nous vous prions de bien vouloir venir le </w:t>
      </w:r>
      <w:r>
        <w:rPr>
          <w:i/>
          <w:iCs/>
        </w:rPr>
        <w:t>(précisez la date)</w:t>
      </w:r>
      <w:r>
        <w:t xml:space="preserve">, à </w:t>
      </w:r>
      <w:r>
        <w:rPr>
          <w:i/>
          <w:iCs/>
        </w:rPr>
        <w:t>(précisez l’heure),</w:t>
      </w:r>
      <w:r>
        <w:t xml:space="preserve"> dans nos locaux, pour votre entretien préalable de licenciement. Nous vous exposerons alors les raisons qui nous ont conduits à prendre cette décision.</w:t>
      </w:r>
      <w:r>
        <w:br/>
      </w:r>
      <w:r>
        <w:br/>
        <w:t xml:space="preserve">Pour cet entretien, vous pouvez vous faire accompagner d’un représentant du personnel, d’une personne de votre choix appartenant à la société, ou d’un conseiller extérieur à l’entreprise. Vous trouverez une liste de ces conseillers </w:t>
      </w:r>
      <w:r>
        <w:rPr>
          <w:i/>
          <w:iCs/>
        </w:rPr>
        <w:t>(précisez le lieu et l’adresse).</w:t>
      </w:r>
      <w:r>
        <w:br/>
      </w:r>
      <w:r>
        <w:br/>
        <w:t>Nous vous prions d’agréer, Madame, Monsieur, nos respectueuses salutations.</w:t>
      </w:r>
    </w:p>
    <w:p w:rsidR="009776E9" w:rsidRDefault="009776E9" w:rsidP="009776E9">
      <w:pPr>
        <w:autoSpaceDE w:val="0"/>
        <w:autoSpaceDN w:val="0"/>
        <w:adjustRightInd w:val="0"/>
        <w:spacing w:after="0" w:line="240" w:lineRule="auto"/>
        <w:rPr>
          <w:rFonts w:ascii="Frutiger-Light" w:hAnsi="Frutiger-Light" w:cs="Frutiger-Light"/>
          <w:sz w:val="18"/>
          <w:szCs w:val="18"/>
        </w:rPr>
      </w:pPr>
      <w:r>
        <w:rPr>
          <w:rFonts w:ascii="Frutiger-Light" w:hAnsi="Frutiger-Light" w:cs="Frutiger-Light"/>
          <w:sz w:val="18"/>
          <w:szCs w:val="18"/>
        </w:rPr>
        <w:t>L’existence d’institutions représentatives du personnel dans l’entreprise n’impose pas</w:t>
      </w:r>
    </w:p>
    <w:p w:rsidR="009776E9" w:rsidRDefault="009776E9" w:rsidP="009776E9">
      <w:pPr>
        <w:autoSpaceDE w:val="0"/>
        <w:autoSpaceDN w:val="0"/>
        <w:adjustRightInd w:val="0"/>
        <w:spacing w:after="0" w:line="240" w:lineRule="auto"/>
        <w:rPr>
          <w:rFonts w:ascii="Frutiger-Light" w:hAnsi="Frutiger-Light" w:cs="Frutiger-Light"/>
          <w:sz w:val="18"/>
          <w:szCs w:val="18"/>
        </w:rPr>
      </w:pPr>
      <w:r>
        <w:rPr>
          <w:rFonts w:ascii="Frutiger-Light" w:hAnsi="Frutiger-Light" w:cs="Frutiger-Light"/>
          <w:sz w:val="18"/>
          <w:szCs w:val="18"/>
        </w:rPr>
        <w:t>au salarié convoqué de choisir nécessairement son assistant parmi les représentants du</w:t>
      </w:r>
    </w:p>
    <w:p w:rsidR="009776E9" w:rsidRDefault="009776E9" w:rsidP="009776E9">
      <w:pPr>
        <w:spacing w:before="100" w:beforeAutospacing="1" w:after="100" w:afterAutospacing="1" w:line="240" w:lineRule="auto"/>
        <w:outlineLvl w:val="0"/>
        <w:rPr>
          <w:rFonts w:ascii="Frutiger-Light" w:hAnsi="Frutiger-Light" w:cs="Frutiger-Light"/>
          <w:sz w:val="18"/>
          <w:szCs w:val="18"/>
        </w:rPr>
      </w:pPr>
      <w:r>
        <w:rPr>
          <w:rFonts w:ascii="Frutiger-Light" w:hAnsi="Frutiger-Light" w:cs="Frutiger-Light"/>
          <w:sz w:val="18"/>
          <w:szCs w:val="18"/>
        </w:rPr>
        <w:t>personnel.</w:t>
      </w:r>
    </w:p>
    <w:p w:rsidR="00C9234B" w:rsidRDefault="00C9234B" w:rsidP="009776E9">
      <w:pPr>
        <w:spacing w:before="100" w:beforeAutospacing="1" w:after="100" w:afterAutospacing="1" w:line="240" w:lineRule="auto"/>
        <w:outlineLvl w:val="0"/>
        <w:rPr>
          <w:sz w:val="20"/>
          <w:szCs w:val="20"/>
        </w:rPr>
      </w:pPr>
      <w:r>
        <w:rPr>
          <w:sz w:val="20"/>
          <w:szCs w:val="20"/>
        </w:rPr>
        <w:t>l</w:t>
      </w:r>
      <w:r>
        <w:rPr>
          <w:sz w:val="20"/>
          <w:szCs w:val="20"/>
        </w:rPr>
        <w:t>e défaut d'indication dans la lettre de convocation de la possibilité de se faire assister par un conseiller du salarié est sanctionné par le versement au salarié d'une indemnité au plus égale à un mois de salaire.</w:t>
      </w:r>
    </w:p>
    <w:p w:rsidR="00E41396" w:rsidRDefault="00E41396" w:rsidP="009776E9">
      <w:pPr>
        <w:spacing w:before="100" w:beforeAutospacing="1" w:after="100" w:afterAutospacing="1" w:line="240" w:lineRule="auto"/>
        <w:outlineLvl w:val="0"/>
        <w:rPr>
          <w:sz w:val="20"/>
          <w:szCs w:val="20"/>
        </w:rPr>
      </w:pPr>
      <w:r>
        <w:rPr>
          <w:sz w:val="20"/>
          <w:szCs w:val="20"/>
        </w:rPr>
        <w:t>//////////////////////////////////////////////////////////////////////////</w:t>
      </w:r>
      <w:bookmarkStart w:id="0" w:name="_GoBack"/>
      <w:bookmarkEnd w:id="0"/>
    </w:p>
    <w:p w:rsidR="00234BCD" w:rsidRDefault="00852823" w:rsidP="009776E9">
      <w:pPr>
        <w:spacing w:before="100" w:beforeAutospacing="1" w:after="100" w:afterAutospacing="1" w:line="240" w:lineRule="auto"/>
        <w:outlineLvl w:val="0"/>
        <w:rPr>
          <w:rFonts w:eastAsia="Times New Roman" w:cstheme="minorHAnsi"/>
          <w:b/>
          <w:bCs/>
          <w:kern w:val="36"/>
          <w:sz w:val="20"/>
          <w:szCs w:val="20"/>
          <w:lang w:eastAsia="fr-FR"/>
        </w:rPr>
      </w:pPr>
      <w:hyperlink r:id="rId9" w:history="1">
        <w:r w:rsidRPr="0027266C">
          <w:rPr>
            <w:rStyle w:val="Lienhypertexte"/>
            <w:rFonts w:eastAsia="Times New Roman" w:cstheme="minorHAnsi"/>
            <w:b/>
            <w:bCs/>
            <w:kern w:val="36"/>
            <w:sz w:val="20"/>
            <w:szCs w:val="20"/>
            <w:lang w:eastAsia="fr-FR"/>
          </w:rPr>
          <w:t>http://www.travail-emploi-sante.gouv.fr/informations-pratiques,89/fiches-pratiques,91/representants-du-personnel,119/informations-pratiques,89/fiches-pratiques,91/licenciement,121/la-procedure-en-cas-de,1103.html</w:t>
        </w:r>
      </w:hyperlink>
    </w:p>
    <w:p w:rsidR="00852823" w:rsidRPr="00852823" w:rsidRDefault="00852823" w:rsidP="0085282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52823">
        <w:rPr>
          <w:rFonts w:ascii="Times New Roman" w:eastAsia="Times New Roman" w:hAnsi="Times New Roman" w:cs="Times New Roman"/>
          <w:b/>
          <w:bCs/>
          <w:sz w:val="27"/>
          <w:szCs w:val="27"/>
          <w:lang w:eastAsia="fr-FR"/>
        </w:rPr>
        <w:t>La convocation à l’entretien préalable</w:t>
      </w:r>
    </w:p>
    <w:p w:rsidR="00852823" w:rsidRDefault="00852823" w:rsidP="00852823">
      <w:pPr>
        <w:spacing w:before="100" w:beforeAutospacing="1" w:after="100" w:afterAutospacing="1" w:line="240" w:lineRule="auto"/>
        <w:rPr>
          <w:rFonts w:ascii="Times New Roman" w:eastAsia="Times New Roman" w:hAnsi="Times New Roman" w:cs="Times New Roman"/>
          <w:sz w:val="24"/>
          <w:szCs w:val="24"/>
          <w:lang w:eastAsia="fr-FR"/>
        </w:rPr>
      </w:pPr>
      <w:r w:rsidRPr="00852823">
        <w:rPr>
          <w:rFonts w:ascii="Times New Roman" w:eastAsia="Times New Roman" w:hAnsi="Times New Roman" w:cs="Times New Roman"/>
          <w:sz w:val="24"/>
          <w:szCs w:val="24"/>
          <w:lang w:eastAsia="fr-FR"/>
        </w:rPr>
        <w:t xml:space="preserve">Chaque salarié est convoqué par lettre recommandée avec avis de réception ou par lettre remise en main propre contre décharge. </w:t>
      </w:r>
      <w:r w:rsidRPr="00852823">
        <w:rPr>
          <w:rFonts w:ascii="Times New Roman" w:eastAsia="Times New Roman" w:hAnsi="Times New Roman" w:cs="Times New Roman"/>
          <w:sz w:val="24"/>
          <w:szCs w:val="24"/>
          <w:lang w:eastAsia="fr-FR"/>
        </w:rPr>
        <w:br/>
        <w:t xml:space="preserve">Cette lettre précise l’objet de l’entretien et la possibilité, pour le salarié, d’être assisté par une personne de son choix appartenant à l’entreprise ou par un conseiller extérieur. </w:t>
      </w:r>
      <w:r w:rsidRPr="00852823">
        <w:rPr>
          <w:rFonts w:ascii="Times New Roman" w:eastAsia="Times New Roman" w:hAnsi="Times New Roman" w:cs="Times New Roman"/>
          <w:sz w:val="24"/>
          <w:szCs w:val="24"/>
          <w:lang w:eastAsia="fr-FR"/>
        </w:rPr>
        <w:br/>
        <w:t>La liste des conseillers du salarié est disponible auprès de la mairie, de la Direction régionale des entreprises, de la concurrence, de la consommation, du travail et de l’emploi (DIRECCTE) ou de l’inspection du travail</w:t>
      </w:r>
    </w:p>
    <w:p w:rsidR="00852823" w:rsidRDefault="00852823" w:rsidP="00852823">
      <w:pPr>
        <w:spacing w:before="100" w:beforeAutospacing="1" w:after="100" w:afterAutospacing="1" w:line="240" w:lineRule="auto"/>
        <w:outlineLvl w:val="0"/>
      </w:pPr>
      <w:r>
        <w:t>L'article L.122-14 du Code du Travail stipule que la lettre de convocation "précise l'adresse des services où la liste des conseillers est tenue à la disposition des salariés". Si l'adresse de l'un ou l'autre ne figure pas sur la convocation, Vous pouvez faire valoir un vice de procédure (Cass.soc,, 29/04/.2003, n°01-41364).</w:t>
      </w:r>
    </w:p>
    <w:p w:rsidR="00852823" w:rsidRPr="00852823" w:rsidRDefault="00852823" w:rsidP="00852823">
      <w:pPr>
        <w:spacing w:before="100" w:beforeAutospacing="1" w:after="100" w:afterAutospacing="1" w:line="240" w:lineRule="auto"/>
        <w:rPr>
          <w:rFonts w:ascii="Times New Roman" w:eastAsia="Times New Roman" w:hAnsi="Times New Roman" w:cs="Times New Roman"/>
          <w:sz w:val="24"/>
          <w:szCs w:val="24"/>
          <w:lang w:eastAsia="fr-FR"/>
        </w:rPr>
      </w:pPr>
    </w:p>
    <w:p w:rsidR="00852823" w:rsidRDefault="00852823" w:rsidP="009776E9">
      <w:pPr>
        <w:spacing w:before="100" w:beforeAutospacing="1" w:after="100" w:afterAutospacing="1" w:line="240" w:lineRule="auto"/>
        <w:outlineLvl w:val="0"/>
        <w:rPr>
          <w:rFonts w:eastAsia="Times New Roman" w:cstheme="minorHAnsi"/>
          <w:b/>
          <w:bCs/>
          <w:kern w:val="36"/>
          <w:sz w:val="20"/>
          <w:szCs w:val="20"/>
          <w:lang w:eastAsia="fr-FR"/>
        </w:rPr>
      </w:pPr>
    </w:p>
    <w:p w:rsidR="00AB23A3" w:rsidRDefault="00AB23A3" w:rsidP="000D0A8E">
      <w:pPr>
        <w:spacing w:before="100" w:beforeAutospacing="1" w:after="100" w:afterAutospacing="1" w:line="240" w:lineRule="auto"/>
        <w:outlineLvl w:val="0"/>
        <w:rPr>
          <w:rFonts w:eastAsia="Times New Roman" w:cstheme="minorHAnsi"/>
          <w:b/>
          <w:bCs/>
          <w:kern w:val="36"/>
          <w:sz w:val="20"/>
          <w:szCs w:val="20"/>
          <w:lang w:eastAsia="fr-FR"/>
        </w:rPr>
      </w:pPr>
      <w:r>
        <w:rPr>
          <w:rFonts w:eastAsia="Times New Roman" w:cstheme="minorHAnsi"/>
          <w:b/>
          <w:bCs/>
          <w:kern w:val="36"/>
          <w:sz w:val="20"/>
          <w:szCs w:val="20"/>
          <w:lang w:eastAsia="fr-FR"/>
        </w:rPr>
        <w:t>----------------------------------------------------------------------------------------------------------</w:t>
      </w:r>
    </w:p>
    <w:p w:rsidR="000D0A8E" w:rsidRPr="000D0A8E" w:rsidRDefault="000D0A8E" w:rsidP="000D0A8E">
      <w:pPr>
        <w:spacing w:before="100" w:beforeAutospacing="1" w:after="100" w:afterAutospacing="1" w:line="240" w:lineRule="auto"/>
        <w:outlineLvl w:val="0"/>
        <w:rPr>
          <w:rFonts w:eastAsia="Times New Roman" w:cstheme="minorHAnsi"/>
          <w:b/>
          <w:bCs/>
          <w:kern w:val="36"/>
          <w:sz w:val="20"/>
          <w:szCs w:val="20"/>
          <w:lang w:eastAsia="fr-FR"/>
        </w:rPr>
      </w:pPr>
      <w:r w:rsidRPr="000D0A8E">
        <w:rPr>
          <w:rFonts w:eastAsia="Times New Roman" w:cstheme="minorHAnsi"/>
          <w:b/>
          <w:bCs/>
          <w:kern w:val="36"/>
          <w:sz w:val="20"/>
          <w:szCs w:val="20"/>
          <w:lang w:eastAsia="fr-FR"/>
        </w:rPr>
        <w:t>Licenciement pour motif économique et obligation de reclassement : attention aux dispositions conventionnelles</w:t>
      </w:r>
    </w:p>
    <w:p w:rsidR="000D0A8E" w:rsidRPr="000D0A8E" w:rsidRDefault="000D0A8E" w:rsidP="000D0A8E">
      <w:pPr>
        <w:spacing w:before="100" w:beforeAutospacing="1" w:after="100" w:afterAutospacing="1" w:line="240" w:lineRule="auto"/>
        <w:rPr>
          <w:rFonts w:eastAsia="Times New Roman" w:cstheme="minorHAnsi"/>
          <w:b/>
          <w:bCs/>
          <w:sz w:val="20"/>
          <w:szCs w:val="20"/>
          <w:lang w:eastAsia="fr-FR"/>
        </w:rPr>
      </w:pPr>
      <w:r w:rsidRPr="000D0A8E">
        <w:rPr>
          <w:rFonts w:eastAsia="Times New Roman" w:cstheme="minorHAnsi"/>
          <w:b/>
          <w:bCs/>
          <w:sz w:val="20"/>
          <w:szCs w:val="20"/>
          <w:lang w:eastAsia="fr-FR"/>
        </w:rPr>
        <w:t>La méconnaissance par l’employeur de dispositions conventionnelles qui étendent le périmètre de reclassement constitue un manquement à l’obligation de reclassement préalable au licenciement et prive celui-ci de cause réelle et sérieuse.</w:t>
      </w:r>
    </w:p>
    <w:p w:rsidR="000D0A8E" w:rsidRPr="000D0A8E" w:rsidRDefault="000D0A8E" w:rsidP="000D0A8E">
      <w:pPr>
        <w:spacing w:before="100" w:beforeAutospacing="1" w:after="100" w:afterAutospacing="1" w:line="240" w:lineRule="auto"/>
        <w:rPr>
          <w:rFonts w:eastAsia="Times New Roman" w:cstheme="minorHAnsi"/>
          <w:sz w:val="20"/>
          <w:szCs w:val="20"/>
          <w:lang w:eastAsia="fr-FR"/>
        </w:rPr>
      </w:pPr>
      <w:r w:rsidRPr="000D0A8E">
        <w:rPr>
          <w:rFonts w:eastAsia="Times New Roman" w:cstheme="minorHAnsi"/>
          <w:sz w:val="20"/>
          <w:szCs w:val="20"/>
          <w:lang w:eastAsia="fr-FR"/>
        </w:rPr>
        <w:t xml:space="preserve">La méconnaissance par l’employeur de dispositions conventionnelles qui étendent le périmètre de reclassement et prévoient une procédure destinée à favoriser un reclassement à l’extérieur de l’entreprise, avant tout licenciement, constitue un manquement à l’obligation de reclassement préalable au licenciement et prive celui-ci de cause réelle et sérieuse. C’est ce qu'a jugé la Cour de cassation dans un arrêt du 28 mai 2008. </w:t>
      </w:r>
      <w:r w:rsidRPr="000D0A8E">
        <w:rPr>
          <w:rFonts w:eastAsia="Times New Roman" w:cstheme="minorHAnsi"/>
          <w:sz w:val="20"/>
          <w:szCs w:val="20"/>
          <w:lang w:eastAsia="fr-FR"/>
        </w:rPr>
        <w:br/>
      </w:r>
      <w:r w:rsidRPr="000D0A8E">
        <w:rPr>
          <w:rFonts w:eastAsia="Times New Roman" w:cstheme="minorHAnsi"/>
          <w:sz w:val="20"/>
          <w:szCs w:val="20"/>
          <w:lang w:eastAsia="fr-FR"/>
        </w:rPr>
        <w:br/>
        <w:t xml:space="preserve">On sait que le licenciement pour motif économique ne peut intervenir que lorsque tous les efforts et d’adaptation ont été réalisés et que le reclassement du salarié s’avère impossible. Ce reclassement doit être recherché au sein de l’entreprise ou, le cas échéant, au sein du groupe auquel appartient l’entreprise. Mais, certaines conventions collectives peuvent étendre le périmètre de l’obligation de reclassement et imposer à l’employeur de rechercher des possibilités de reclassement à l’extérieur de l’entreprise. </w:t>
      </w:r>
      <w:r w:rsidRPr="000D0A8E">
        <w:rPr>
          <w:rFonts w:eastAsia="Times New Roman" w:cstheme="minorHAnsi"/>
          <w:sz w:val="20"/>
          <w:szCs w:val="20"/>
          <w:lang w:eastAsia="fr-FR"/>
        </w:rPr>
        <w:br/>
      </w:r>
      <w:r w:rsidRPr="000D0A8E">
        <w:rPr>
          <w:rFonts w:eastAsia="Times New Roman" w:cstheme="minorHAnsi"/>
          <w:sz w:val="20"/>
          <w:szCs w:val="20"/>
          <w:lang w:eastAsia="fr-FR"/>
        </w:rPr>
        <w:br/>
      </w:r>
      <w:r w:rsidRPr="000D0A8E">
        <w:rPr>
          <w:rFonts w:eastAsia="Times New Roman" w:cstheme="minorHAnsi"/>
          <w:b/>
          <w:sz w:val="20"/>
          <w:szCs w:val="20"/>
          <w:lang w:eastAsia="fr-FR"/>
        </w:rPr>
        <w:t>C’est le cas dans la branche professionnelle de la métallurgie dont un accord national du 12 juin 1987 sur les problèmes généraux de l'emploi impose aux entreprises qui envisagent de prononcer des licenciements collectifs pour motif économique de rechercher les possibilités de reclassement à l'extérieur de l'entreprise en faisant appel à la commission territoriale de l'emploi.</w:t>
      </w:r>
      <w:r w:rsidRPr="000D0A8E">
        <w:rPr>
          <w:rFonts w:eastAsia="Times New Roman" w:cstheme="minorHAnsi"/>
          <w:sz w:val="20"/>
          <w:szCs w:val="20"/>
          <w:lang w:eastAsia="fr-FR"/>
        </w:rPr>
        <w:t xml:space="preserve"> </w:t>
      </w:r>
      <w:r w:rsidRPr="000D0A8E">
        <w:rPr>
          <w:rFonts w:eastAsia="Times New Roman" w:cstheme="minorHAnsi"/>
          <w:sz w:val="20"/>
          <w:szCs w:val="20"/>
          <w:lang w:eastAsia="fr-FR"/>
        </w:rPr>
        <w:br/>
      </w:r>
      <w:r w:rsidRPr="000D0A8E">
        <w:rPr>
          <w:rFonts w:eastAsia="Times New Roman" w:cstheme="minorHAnsi"/>
          <w:sz w:val="20"/>
          <w:szCs w:val="20"/>
          <w:lang w:eastAsia="fr-FR"/>
        </w:rPr>
        <w:br/>
        <w:t xml:space="preserve">En l’espèce, l’employeur avait procédé à un licenciement collectif pour motif économique sans saisir la commission territoriale de l'emploi. Pour la Cour de cassation, cette omission constitue un manquement à l’obligation de reclassement préalable à tout licenciement pour motif économique et prive celui-ci de cause réelle et sérieuse. </w:t>
      </w:r>
      <w:r w:rsidRPr="000D0A8E">
        <w:rPr>
          <w:rFonts w:eastAsia="Times New Roman" w:cstheme="minorHAnsi"/>
          <w:sz w:val="20"/>
          <w:szCs w:val="20"/>
          <w:lang w:eastAsia="fr-FR"/>
        </w:rPr>
        <w:br/>
      </w:r>
      <w:r w:rsidRPr="000D0A8E">
        <w:rPr>
          <w:rFonts w:eastAsia="Times New Roman" w:cstheme="minorHAnsi"/>
          <w:sz w:val="20"/>
          <w:szCs w:val="20"/>
          <w:lang w:eastAsia="fr-FR"/>
        </w:rPr>
        <w:br/>
        <w:t>Source : Cass. soc., 28 mai 2008, pourvois n° 06-46.009, 06-46.011, 06-46.013</w:t>
      </w:r>
    </w:p>
    <w:p w:rsidR="0060796D" w:rsidRDefault="0060796D">
      <w:pPr>
        <w:rPr>
          <w:rFonts w:cstheme="minorHAnsi"/>
          <w:sz w:val="20"/>
          <w:szCs w:val="20"/>
        </w:rPr>
      </w:pPr>
      <w:r w:rsidRPr="0060796D">
        <w:rPr>
          <w:rFonts w:cstheme="minorHAnsi"/>
          <w:sz w:val="20"/>
          <w:szCs w:val="20"/>
        </w:rPr>
        <w:t>accord_12-06-1987.pdf</w:t>
      </w:r>
    </w:p>
    <w:p w:rsidR="003D03DB" w:rsidRDefault="003B4460">
      <w:pPr>
        <w:rPr>
          <w:rFonts w:cstheme="minorHAnsi"/>
          <w:sz w:val="20"/>
          <w:szCs w:val="20"/>
        </w:rPr>
      </w:pPr>
      <w:r>
        <w:rPr>
          <w:rFonts w:cstheme="minorHAnsi"/>
          <w:sz w:val="20"/>
          <w:szCs w:val="20"/>
        </w:rPr>
        <w:t>Article 28</w:t>
      </w:r>
    </w:p>
    <w:p w:rsidR="004A67A0" w:rsidRPr="000D0A8E" w:rsidRDefault="004A67A0">
      <w:pPr>
        <w:rPr>
          <w:rFonts w:cstheme="minorHAnsi"/>
          <w:sz w:val="20"/>
          <w:szCs w:val="20"/>
        </w:rPr>
      </w:pPr>
      <w:r>
        <w:rPr>
          <w:rFonts w:cstheme="minorHAnsi"/>
          <w:sz w:val="20"/>
          <w:szCs w:val="20"/>
        </w:rPr>
        <w:t>Article 33</w:t>
      </w:r>
    </w:p>
    <w:sectPr w:rsidR="004A67A0" w:rsidRPr="000D0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61DF9"/>
    <w:multiLevelType w:val="multilevel"/>
    <w:tmpl w:val="1F9E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A8E"/>
    <w:rsid w:val="000D0A8E"/>
    <w:rsid w:val="00234BCD"/>
    <w:rsid w:val="002F775B"/>
    <w:rsid w:val="003B4460"/>
    <w:rsid w:val="003D03DB"/>
    <w:rsid w:val="004A67A0"/>
    <w:rsid w:val="004C3BAD"/>
    <w:rsid w:val="00516203"/>
    <w:rsid w:val="00550BF6"/>
    <w:rsid w:val="00555AAC"/>
    <w:rsid w:val="005D5211"/>
    <w:rsid w:val="0060796D"/>
    <w:rsid w:val="007475DE"/>
    <w:rsid w:val="007B4635"/>
    <w:rsid w:val="00852823"/>
    <w:rsid w:val="009717CC"/>
    <w:rsid w:val="009776E9"/>
    <w:rsid w:val="00A75040"/>
    <w:rsid w:val="00A7772B"/>
    <w:rsid w:val="00AB23A3"/>
    <w:rsid w:val="00C9234B"/>
    <w:rsid w:val="00D15647"/>
    <w:rsid w:val="00E3778C"/>
    <w:rsid w:val="00E413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D0A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unhideWhenUsed/>
    <w:qFormat/>
    <w:rsid w:val="008528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0A8E"/>
    <w:rPr>
      <w:rFonts w:ascii="Times New Roman" w:eastAsia="Times New Roman" w:hAnsi="Times New Roman" w:cs="Times New Roman"/>
      <w:b/>
      <w:bCs/>
      <w:kern w:val="36"/>
      <w:sz w:val="48"/>
      <w:szCs w:val="48"/>
      <w:lang w:eastAsia="fr-FR"/>
    </w:rPr>
  </w:style>
  <w:style w:type="character" w:customStyle="1" w:styleId="gauche">
    <w:name w:val="gauche"/>
    <w:basedOn w:val="Policepardfaut"/>
    <w:rsid w:val="000D0A8E"/>
  </w:style>
  <w:style w:type="paragraph" w:styleId="NormalWeb">
    <w:name w:val="Normal (Web)"/>
    <w:basedOn w:val="Normal"/>
    <w:uiPriority w:val="99"/>
    <w:semiHidden/>
    <w:unhideWhenUsed/>
    <w:rsid w:val="000D0A8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D0A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0A8E"/>
    <w:rPr>
      <w:rFonts w:ascii="Tahoma" w:hAnsi="Tahoma" w:cs="Tahoma"/>
      <w:sz w:val="16"/>
      <w:szCs w:val="16"/>
    </w:rPr>
  </w:style>
  <w:style w:type="character" w:styleId="Lienhypertexte">
    <w:name w:val="Hyperlink"/>
    <w:basedOn w:val="Policepardfaut"/>
    <w:uiPriority w:val="99"/>
    <w:unhideWhenUsed/>
    <w:rsid w:val="00AB23A3"/>
    <w:rPr>
      <w:color w:val="0000FF"/>
      <w:u w:val="single"/>
    </w:rPr>
  </w:style>
  <w:style w:type="character" w:styleId="lev">
    <w:name w:val="Strong"/>
    <w:basedOn w:val="Policepardfaut"/>
    <w:uiPriority w:val="22"/>
    <w:qFormat/>
    <w:rsid w:val="00AB23A3"/>
    <w:rPr>
      <w:b/>
      <w:bCs/>
    </w:rPr>
  </w:style>
  <w:style w:type="character" w:customStyle="1" w:styleId="spipsurligne">
    <w:name w:val="spip_surligne"/>
    <w:basedOn w:val="Policepardfaut"/>
    <w:rsid w:val="00A75040"/>
  </w:style>
  <w:style w:type="character" w:customStyle="1" w:styleId="lienbleu12">
    <w:name w:val="lien_bleu_12"/>
    <w:basedOn w:val="Policepardfaut"/>
    <w:rsid w:val="00E3778C"/>
  </w:style>
  <w:style w:type="character" w:customStyle="1" w:styleId="Titre3Car">
    <w:name w:val="Titre 3 Car"/>
    <w:basedOn w:val="Policepardfaut"/>
    <w:link w:val="Titre3"/>
    <w:uiPriority w:val="9"/>
    <w:rsid w:val="0085282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D0A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unhideWhenUsed/>
    <w:qFormat/>
    <w:rsid w:val="008528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0A8E"/>
    <w:rPr>
      <w:rFonts w:ascii="Times New Roman" w:eastAsia="Times New Roman" w:hAnsi="Times New Roman" w:cs="Times New Roman"/>
      <w:b/>
      <w:bCs/>
      <w:kern w:val="36"/>
      <w:sz w:val="48"/>
      <w:szCs w:val="48"/>
      <w:lang w:eastAsia="fr-FR"/>
    </w:rPr>
  </w:style>
  <w:style w:type="character" w:customStyle="1" w:styleId="gauche">
    <w:name w:val="gauche"/>
    <w:basedOn w:val="Policepardfaut"/>
    <w:rsid w:val="000D0A8E"/>
  </w:style>
  <w:style w:type="paragraph" w:styleId="NormalWeb">
    <w:name w:val="Normal (Web)"/>
    <w:basedOn w:val="Normal"/>
    <w:uiPriority w:val="99"/>
    <w:semiHidden/>
    <w:unhideWhenUsed/>
    <w:rsid w:val="000D0A8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D0A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0A8E"/>
    <w:rPr>
      <w:rFonts w:ascii="Tahoma" w:hAnsi="Tahoma" w:cs="Tahoma"/>
      <w:sz w:val="16"/>
      <w:szCs w:val="16"/>
    </w:rPr>
  </w:style>
  <w:style w:type="character" w:styleId="Lienhypertexte">
    <w:name w:val="Hyperlink"/>
    <w:basedOn w:val="Policepardfaut"/>
    <w:uiPriority w:val="99"/>
    <w:unhideWhenUsed/>
    <w:rsid w:val="00AB23A3"/>
    <w:rPr>
      <w:color w:val="0000FF"/>
      <w:u w:val="single"/>
    </w:rPr>
  </w:style>
  <w:style w:type="character" w:styleId="lev">
    <w:name w:val="Strong"/>
    <w:basedOn w:val="Policepardfaut"/>
    <w:uiPriority w:val="22"/>
    <w:qFormat/>
    <w:rsid w:val="00AB23A3"/>
    <w:rPr>
      <w:b/>
      <w:bCs/>
    </w:rPr>
  </w:style>
  <w:style w:type="character" w:customStyle="1" w:styleId="spipsurligne">
    <w:name w:val="spip_surligne"/>
    <w:basedOn w:val="Policepardfaut"/>
    <w:rsid w:val="00A75040"/>
  </w:style>
  <w:style w:type="character" w:customStyle="1" w:styleId="lienbleu12">
    <w:name w:val="lien_bleu_12"/>
    <w:basedOn w:val="Policepardfaut"/>
    <w:rsid w:val="00E3778C"/>
  </w:style>
  <w:style w:type="character" w:customStyle="1" w:styleId="Titre3Car">
    <w:name w:val="Titre 3 Car"/>
    <w:basedOn w:val="Policepardfaut"/>
    <w:link w:val="Titre3"/>
    <w:uiPriority w:val="9"/>
    <w:rsid w:val="0085282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18839">
      <w:bodyDiv w:val="1"/>
      <w:marLeft w:val="0"/>
      <w:marRight w:val="0"/>
      <w:marTop w:val="0"/>
      <w:marBottom w:val="0"/>
      <w:divBdr>
        <w:top w:val="none" w:sz="0" w:space="0" w:color="auto"/>
        <w:left w:val="none" w:sz="0" w:space="0" w:color="auto"/>
        <w:bottom w:val="none" w:sz="0" w:space="0" w:color="auto"/>
        <w:right w:val="none" w:sz="0" w:space="0" w:color="auto"/>
      </w:divBdr>
    </w:div>
    <w:div w:id="867450402">
      <w:bodyDiv w:val="1"/>
      <w:marLeft w:val="0"/>
      <w:marRight w:val="0"/>
      <w:marTop w:val="0"/>
      <w:marBottom w:val="0"/>
      <w:divBdr>
        <w:top w:val="none" w:sz="0" w:space="0" w:color="auto"/>
        <w:left w:val="none" w:sz="0" w:space="0" w:color="auto"/>
        <w:bottom w:val="none" w:sz="0" w:space="0" w:color="auto"/>
        <w:right w:val="none" w:sz="0" w:space="0" w:color="auto"/>
      </w:divBdr>
      <w:divsChild>
        <w:div w:id="233862507">
          <w:marLeft w:val="0"/>
          <w:marRight w:val="0"/>
          <w:marTop w:val="0"/>
          <w:marBottom w:val="0"/>
          <w:divBdr>
            <w:top w:val="none" w:sz="0" w:space="0" w:color="auto"/>
            <w:left w:val="none" w:sz="0" w:space="0" w:color="auto"/>
            <w:bottom w:val="none" w:sz="0" w:space="0" w:color="auto"/>
            <w:right w:val="none" w:sz="0" w:space="0" w:color="auto"/>
          </w:divBdr>
        </w:div>
        <w:div w:id="683895540">
          <w:marLeft w:val="0"/>
          <w:marRight w:val="0"/>
          <w:marTop w:val="0"/>
          <w:marBottom w:val="0"/>
          <w:divBdr>
            <w:top w:val="none" w:sz="0" w:space="0" w:color="auto"/>
            <w:left w:val="none" w:sz="0" w:space="0" w:color="auto"/>
            <w:bottom w:val="none" w:sz="0" w:space="0" w:color="auto"/>
            <w:right w:val="none" w:sz="0" w:space="0" w:color="auto"/>
          </w:divBdr>
        </w:div>
      </w:divsChild>
    </w:div>
    <w:div w:id="1480683604">
      <w:bodyDiv w:val="1"/>
      <w:marLeft w:val="0"/>
      <w:marRight w:val="0"/>
      <w:marTop w:val="0"/>
      <w:marBottom w:val="0"/>
      <w:divBdr>
        <w:top w:val="none" w:sz="0" w:space="0" w:color="auto"/>
        <w:left w:val="none" w:sz="0" w:space="0" w:color="auto"/>
        <w:bottom w:val="none" w:sz="0" w:space="0" w:color="auto"/>
        <w:right w:val="none" w:sz="0" w:space="0" w:color="auto"/>
      </w:divBdr>
      <w:divsChild>
        <w:div w:id="1593006686">
          <w:marLeft w:val="0"/>
          <w:marRight w:val="0"/>
          <w:marTop w:val="0"/>
          <w:marBottom w:val="0"/>
          <w:divBdr>
            <w:top w:val="none" w:sz="0" w:space="0" w:color="auto"/>
            <w:left w:val="none" w:sz="0" w:space="0" w:color="auto"/>
            <w:bottom w:val="none" w:sz="0" w:space="0" w:color="auto"/>
            <w:right w:val="none" w:sz="0" w:space="0" w:color="auto"/>
          </w:divBdr>
          <w:divsChild>
            <w:div w:id="875390689">
              <w:marLeft w:val="0"/>
              <w:marRight w:val="0"/>
              <w:marTop w:val="0"/>
              <w:marBottom w:val="0"/>
              <w:divBdr>
                <w:top w:val="none" w:sz="0" w:space="0" w:color="auto"/>
                <w:left w:val="none" w:sz="0" w:space="0" w:color="auto"/>
                <w:bottom w:val="none" w:sz="0" w:space="0" w:color="auto"/>
                <w:right w:val="none" w:sz="0" w:space="0" w:color="auto"/>
              </w:divBdr>
            </w:div>
          </w:divsChild>
        </w:div>
        <w:div w:id="1947611912">
          <w:marLeft w:val="0"/>
          <w:marRight w:val="0"/>
          <w:marTop w:val="0"/>
          <w:marBottom w:val="0"/>
          <w:divBdr>
            <w:top w:val="single" w:sz="6" w:space="2" w:color="999999"/>
            <w:left w:val="none" w:sz="0" w:space="0" w:color="auto"/>
            <w:bottom w:val="single" w:sz="6" w:space="2" w:color="999999"/>
            <w:right w:val="none" w:sz="0" w:space="0" w:color="auto"/>
          </w:divBdr>
        </w:div>
      </w:divsChild>
    </w:div>
    <w:div w:id="1608808690">
      <w:bodyDiv w:val="1"/>
      <w:marLeft w:val="0"/>
      <w:marRight w:val="0"/>
      <w:marTop w:val="0"/>
      <w:marBottom w:val="0"/>
      <w:divBdr>
        <w:top w:val="none" w:sz="0" w:space="0" w:color="auto"/>
        <w:left w:val="none" w:sz="0" w:space="0" w:color="auto"/>
        <w:bottom w:val="none" w:sz="0" w:space="0" w:color="auto"/>
        <w:right w:val="none" w:sz="0" w:space="0" w:color="auto"/>
      </w:divBdr>
    </w:div>
    <w:div w:id="175577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tions-tissot.fr/droit-travail/content.aspx?idSGML=52336ae6-d736-4cee-a455-412b2e004f7e&amp;codeCategory=BTP&amp;codeSpace=GLB&amp;op=1&amp;chapitre=C2&amp;pageNumber=7&amp;section=P07C2F190&amp;cact=PQ0122" TargetMode="External"/><Relationship Id="rId3" Type="http://schemas.microsoft.com/office/2007/relationships/stylesWithEffects" Target="stylesWithEffects.xml"/><Relationship Id="rId7" Type="http://schemas.openxmlformats.org/officeDocument/2006/relationships/hyperlink" Target="http://www.juritravail.com/licenciement/contestation-du-licenci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ritravail.com/code-travail/articles/L122-14-4.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avail-emploi-sante.gouv.fr/informations-pratiques,89/fiches-pratiques,91/representants-du-personnel,119/informations-pratiques,89/fiches-pratiques,91/licenciement,121/la-procedure-en-cas-de,110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1290</Words>
  <Characters>7100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27</cp:revision>
  <dcterms:created xsi:type="dcterms:W3CDTF">2011-10-30T09:15:00Z</dcterms:created>
  <dcterms:modified xsi:type="dcterms:W3CDTF">2011-10-31T18:15:00Z</dcterms:modified>
</cp:coreProperties>
</file>