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7D" w:rsidRDefault="00BC5550">
      <w:r>
        <w:rPr>
          <w:noProof/>
          <w:lang w:eastAsia="fr-FR"/>
        </w:rPr>
        <w:drawing>
          <wp:inline distT="0" distB="0" distL="0" distR="0" wp14:anchorId="5558CF64" wp14:editId="1C2DD507">
            <wp:extent cx="5600000" cy="1857143"/>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00000" cy="1857143"/>
                    </a:xfrm>
                    <a:prstGeom prst="rect">
                      <a:avLst/>
                    </a:prstGeom>
                  </pic:spPr>
                </pic:pic>
              </a:graphicData>
            </a:graphic>
          </wp:inline>
        </w:drawing>
      </w:r>
    </w:p>
    <w:p w:rsidR="00226571" w:rsidRDefault="00226571">
      <w:r>
        <w:rPr>
          <w:noProof/>
          <w:lang w:eastAsia="fr-FR"/>
        </w:rPr>
        <w:drawing>
          <wp:inline distT="0" distB="0" distL="0" distR="0" wp14:anchorId="625B8206" wp14:editId="4583E842">
            <wp:extent cx="5657143" cy="5590477"/>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57143" cy="5590477"/>
                    </a:xfrm>
                    <a:prstGeom prst="rect">
                      <a:avLst/>
                    </a:prstGeom>
                  </pic:spPr>
                </pic:pic>
              </a:graphicData>
            </a:graphic>
          </wp:inline>
        </w:drawing>
      </w:r>
    </w:p>
    <w:p w:rsidR="00E05008" w:rsidRDefault="00E05008">
      <w:r>
        <w:rPr>
          <w:noProof/>
          <w:lang w:eastAsia="fr-FR"/>
        </w:rPr>
        <w:lastRenderedPageBreak/>
        <w:drawing>
          <wp:inline distT="0" distB="0" distL="0" distR="0" wp14:anchorId="5E4A5302" wp14:editId="39154F7E">
            <wp:extent cx="5647619" cy="2723810"/>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47619" cy="2723810"/>
                    </a:xfrm>
                    <a:prstGeom prst="rect">
                      <a:avLst/>
                    </a:prstGeom>
                  </pic:spPr>
                </pic:pic>
              </a:graphicData>
            </a:graphic>
          </wp:inline>
        </w:drawing>
      </w:r>
    </w:p>
    <w:p w:rsidR="00251B9D" w:rsidRDefault="00D519E1">
      <w:r>
        <w:rPr>
          <w:noProof/>
          <w:lang w:eastAsia="fr-FR"/>
        </w:rPr>
        <w:drawing>
          <wp:inline distT="0" distB="0" distL="0" distR="0" wp14:anchorId="0138034C" wp14:editId="796D70B9">
            <wp:extent cx="5760720" cy="456215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562152"/>
                    </a:xfrm>
                    <a:prstGeom prst="rect">
                      <a:avLst/>
                    </a:prstGeom>
                  </pic:spPr>
                </pic:pic>
              </a:graphicData>
            </a:graphic>
          </wp:inline>
        </w:drawing>
      </w:r>
    </w:p>
    <w:p w:rsidR="002F4147" w:rsidRDefault="002F4147"/>
    <w:p w:rsidR="002F4147" w:rsidRDefault="002F4147" w:rsidP="002F4147">
      <w:pPr>
        <w:pStyle w:val="NormalWeb"/>
        <w:rPr>
          <w:rStyle w:val="lev"/>
        </w:rPr>
      </w:pPr>
    </w:p>
    <w:p w:rsidR="002F4147" w:rsidRDefault="002F4147" w:rsidP="002F4147">
      <w:pPr>
        <w:pStyle w:val="NormalWeb"/>
        <w:rPr>
          <w:rStyle w:val="lev"/>
        </w:rPr>
      </w:pPr>
    </w:p>
    <w:p w:rsidR="002F4147" w:rsidRDefault="002F4147" w:rsidP="002F4147">
      <w:pPr>
        <w:pStyle w:val="NormalWeb"/>
        <w:rPr>
          <w:rStyle w:val="lev"/>
        </w:rPr>
      </w:pPr>
    </w:p>
    <w:p w:rsidR="00A53995" w:rsidRDefault="00A53995" w:rsidP="002F4147">
      <w:pPr>
        <w:pStyle w:val="NormalWeb"/>
        <w:rPr>
          <w:rStyle w:val="lev"/>
        </w:rPr>
      </w:pPr>
      <w:r>
        <w:lastRenderedPageBreak/>
        <w:t xml:space="preserve">L’article L 411-1 du Code de la sécurité sociale qui pose en principe que tout </w:t>
      </w:r>
      <w:r>
        <w:rPr>
          <w:rStyle w:val="spipsurligne"/>
        </w:rPr>
        <w:t>accident</w:t>
      </w:r>
      <w:r>
        <w:t xml:space="preserve"> survenu par le fait ou à l’occasion du </w:t>
      </w:r>
      <w:r>
        <w:rPr>
          <w:rStyle w:val="spipsurligne"/>
        </w:rPr>
        <w:t>travail</w:t>
      </w:r>
      <w:r>
        <w:t xml:space="preserve"> quelle qu’en soit la cause est considéré comme </w:t>
      </w:r>
      <w:r>
        <w:rPr>
          <w:rStyle w:val="spipsurligne"/>
        </w:rPr>
        <w:t>accident</w:t>
      </w:r>
      <w:r>
        <w:t xml:space="preserve"> du </w:t>
      </w:r>
      <w:r>
        <w:rPr>
          <w:rStyle w:val="spipsurligne"/>
        </w:rPr>
        <w:t>travail</w:t>
      </w:r>
      <w:r>
        <w:t>, institue une présomption d’imputabilité de l’</w:t>
      </w:r>
      <w:r>
        <w:rPr>
          <w:rStyle w:val="spipsurligne"/>
        </w:rPr>
        <w:t>accident</w:t>
      </w:r>
      <w:r>
        <w:t xml:space="preserve"> du </w:t>
      </w:r>
      <w:r>
        <w:rPr>
          <w:rStyle w:val="spipsurligne"/>
        </w:rPr>
        <w:t>travail</w:t>
      </w:r>
      <w:r>
        <w:t>.</w:t>
      </w:r>
    </w:p>
    <w:p w:rsidR="002F4147" w:rsidRDefault="002F4147" w:rsidP="002F4147">
      <w:pPr>
        <w:pStyle w:val="NormalWeb"/>
      </w:pPr>
      <w:r>
        <w:rPr>
          <w:rStyle w:val="lev"/>
        </w:rPr>
        <w:t>Cour d’Appel de Versailles, 1er septembre 2011 n° 10/02760</w:t>
      </w:r>
    </w:p>
    <w:p w:rsidR="002F4147" w:rsidRDefault="002F4147" w:rsidP="002F4147">
      <w:pPr>
        <w:pStyle w:val="NormalWeb"/>
      </w:pPr>
      <w:r>
        <w:t xml:space="preserve">En l’état d’un trouble de nature psychologique survenu aux temps et lieu du </w:t>
      </w:r>
      <w:r>
        <w:rPr>
          <w:rStyle w:val="spipsurligne"/>
        </w:rPr>
        <w:t>travail</w:t>
      </w:r>
      <w:r>
        <w:t xml:space="preserve">, un salarié bénéficie de la présomption d’imputabilité au </w:t>
      </w:r>
      <w:r>
        <w:rPr>
          <w:rStyle w:val="spipsurligne"/>
        </w:rPr>
        <w:t>travail</w:t>
      </w:r>
      <w:r>
        <w:t xml:space="preserve"> prévue par l’article L 411-1 du Code de la sécurité sociale de sorte qu’il appartient à ceux qui en contestent le caractère professionnel de rapporter la preuve que ce trouble n’a aucun lien avec le </w:t>
      </w:r>
      <w:r>
        <w:rPr>
          <w:rStyle w:val="spipsurligne"/>
        </w:rPr>
        <w:t>travail</w:t>
      </w:r>
      <w:r>
        <w:t>.</w:t>
      </w:r>
    </w:p>
    <w:p w:rsidR="002F4147" w:rsidRDefault="00E21F12">
      <w:r>
        <w:t xml:space="preserve">Une dépression soudaine juste consécutive à un entretien au cours duquel un supérieur hiérarchique a annoncé une rétrogradation peut constituer un </w:t>
      </w:r>
      <w:r>
        <w:rPr>
          <w:rStyle w:val="spipsurligne"/>
        </w:rPr>
        <w:t>accident</w:t>
      </w:r>
      <w:r>
        <w:t xml:space="preserve"> du </w:t>
      </w:r>
      <w:r>
        <w:rPr>
          <w:rStyle w:val="spipsurligne"/>
        </w:rPr>
        <w:t>travail</w:t>
      </w:r>
      <w:r>
        <w:t>.</w:t>
      </w:r>
    </w:p>
    <w:p w:rsidR="00F207FA" w:rsidRDefault="00F207FA"/>
    <w:p w:rsidR="00F207FA" w:rsidRPr="00F207FA" w:rsidRDefault="00F207FA" w:rsidP="00F207FA">
      <w:p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b/>
          <w:bCs/>
          <w:sz w:val="20"/>
          <w:szCs w:val="20"/>
          <w:u w:val="single"/>
          <w:lang w:eastAsia="fr-FR"/>
        </w:rPr>
        <w:t>La faute inexcusable de l’employeur permet à la victime de percevoir des indemnités complémentaires</w:t>
      </w:r>
    </w:p>
    <w:p w:rsidR="00F207FA" w:rsidRPr="00F207FA" w:rsidRDefault="00F207FA" w:rsidP="00F207FA">
      <w:p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sz w:val="20"/>
          <w:szCs w:val="20"/>
          <w:lang w:eastAsia="fr-FR"/>
        </w:rPr>
        <w:t>La Cour de cassation définit la faute inexcusable comme « tout manquement de l’employeur à l’obligation de sécurité ayant concouru à la réalisation de l’accident ».</w:t>
      </w:r>
    </w:p>
    <w:p w:rsidR="00F207FA" w:rsidRPr="00F207FA" w:rsidRDefault="00F207FA" w:rsidP="00F207FA">
      <w:p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sz w:val="20"/>
          <w:szCs w:val="20"/>
          <w:lang w:eastAsia="fr-FR"/>
        </w:rPr>
        <w:t>Depuis deux importantes décisions de la Cour de cassation en date du 31 octobre 2002 (chambre sociale), il est devenu « indifférent que la faute inexcusable de l’employeur soit la cause déterminante de l’accident survenu au salarié. Il suffit que cette faute en soit une cause nécessaire pour que la responsabilité de l’employeur soit engagée, alors même que d’autres fautes auraient concouru au dommage ».</w:t>
      </w:r>
    </w:p>
    <w:p w:rsidR="00F207FA" w:rsidRPr="00F207FA" w:rsidRDefault="00F207FA" w:rsidP="00F207FA">
      <w:p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sz w:val="20"/>
          <w:szCs w:val="20"/>
          <w:lang w:eastAsia="fr-FR"/>
        </w:rPr>
        <w:t>Peu importe donc que la victime (ou un tiers) ait contribué par son imprudence ou sa négligence à la survenue du dommage.</w:t>
      </w:r>
    </w:p>
    <w:p w:rsidR="00F207FA" w:rsidRPr="00F207FA" w:rsidRDefault="00F207FA" w:rsidP="00F207FA">
      <w:p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sz w:val="20"/>
          <w:szCs w:val="20"/>
          <w:lang w:eastAsia="fr-FR"/>
        </w:rPr>
        <w:t xml:space="preserve">Au sens de l’article L. 452-1 du Code de la Sécurité Sociale, ce manquement a le caractère d’une faute inexcusable « lorsque l’employeur avait ou aurait </w:t>
      </w:r>
      <w:proofErr w:type="spellStart"/>
      <w:r w:rsidRPr="00F207FA">
        <w:rPr>
          <w:rFonts w:ascii="Times New Roman" w:eastAsia="Times New Roman" w:hAnsi="Times New Roman" w:cs="Times New Roman"/>
          <w:sz w:val="20"/>
          <w:szCs w:val="20"/>
          <w:lang w:eastAsia="fr-FR"/>
        </w:rPr>
        <w:t>du</w:t>
      </w:r>
      <w:proofErr w:type="spellEnd"/>
      <w:r w:rsidRPr="00F207FA">
        <w:rPr>
          <w:rFonts w:ascii="Times New Roman" w:eastAsia="Times New Roman" w:hAnsi="Times New Roman" w:cs="Times New Roman"/>
          <w:sz w:val="20"/>
          <w:szCs w:val="20"/>
          <w:lang w:eastAsia="fr-FR"/>
        </w:rPr>
        <w:t xml:space="preserve"> avoir conscience du danger auquel était exposé le salarié, et qu’il n’a pas pris les mesures nécessaires pour l’en préserver ».</w:t>
      </w:r>
    </w:p>
    <w:p w:rsidR="00F207FA" w:rsidRPr="00F207FA" w:rsidRDefault="00F207FA" w:rsidP="00F207FA">
      <w:p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b/>
          <w:bCs/>
          <w:sz w:val="20"/>
          <w:szCs w:val="20"/>
          <w:lang w:eastAsia="fr-FR"/>
        </w:rPr>
        <w:t> La faute inexcusable permet en outre à la victime d’un accident du travail de percevoir :</w:t>
      </w:r>
    </w:p>
    <w:p w:rsidR="00F207FA" w:rsidRPr="00F207FA" w:rsidRDefault="00F207FA" w:rsidP="00F207FA">
      <w:pPr>
        <w:numPr>
          <w:ilvl w:val="0"/>
          <w:numId w:val="1"/>
        </w:num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sz w:val="20"/>
          <w:szCs w:val="20"/>
          <w:lang w:eastAsia="fr-FR"/>
        </w:rPr>
        <w:t>une majoration de la rente qui vient s’ajouter à la rente forfaitaire</w:t>
      </w:r>
    </w:p>
    <w:p w:rsidR="00F207FA" w:rsidRPr="00F207FA" w:rsidRDefault="00F207FA" w:rsidP="00F207FA">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sz w:val="20"/>
          <w:szCs w:val="20"/>
          <w:lang w:eastAsia="fr-FR"/>
        </w:rPr>
        <w:t>l’indemnisation de ses souffrances physiques et morales endurées</w:t>
      </w:r>
    </w:p>
    <w:p w:rsidR="00F207FA" w:rsidRPr="00F207FA" w:rsidRDefault="00F207FA" w:rsidP="00F207FA">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sz w:val="20"/>
          <w:szCs w:val="20"/>
          <w:lang w:eastAsia="fr-FR"/>
        </w:rPr>
        <w:t>l’indemnisation de ses préjudices esthétiques et d’agrément</w:t>
      </w:r>
    </w:p>
    <w:p w:rsidR="00F207FA" w:rsidRPr="00F207FA" w:rsidRDefault="00F207FA" w:rsidP="00F207FA">
      <w:pPr>
        <w:numPr>
          <w:ilvl w:val="0"/>
          <w:numId w:val="4"/>
        </w:numPr>
        <w:spacing w:before="100" w:beforeAutospacing="1" w:after="100" w:afterAutospacing="1" w:line="240" w:lineRule="auto"/>
        <w:rPr>
          <w:rFonts w:ascii="Times New Roman" w:eastAsia="Times New Roman" w:hAnsi="Times New Roman" w:cs="Times New Roman"/>
          <w:sz w:val="20"/>
          <w:szCs w:val="20"/>
          <w:lang w:eastAsia="fr-FR"/>
        </w:rPr>
      </w:pPr>
      <w:r w:rsidRPr="00F207FA">
        <w:rPr>
          <w:rFonts w:ascii="Times New Roman" w:eastAsia="Times New Roman" w:hAnsi="Times New Roman" w:cs="Times New Roman"/>
          <w:sz w:val="20"/>
          <w:szCs w:val="20"/>
          <w:lang w:eastAsia="fr-FR"/>
        </w:rPr>
        <w:t>l’indemnisation du préjudice résultant de la perte ou de la diminution de ses possibilités de promotion professionnelle</w:t>
      </w:r>
    </w:p>
    <w:p w:rsidR="00F207FA" w:rsidRDefault="00F207FA">
      <w:bookmarkStart w:id="0" w:name="_GoBack"/>
    </w:p>
    <w:bookmarkEnd w:id="0"/>
    <w:p w:rsidR="002F4147" w:rsidRDefault="002F4147"/>
    <w:p w:rsidR="00251B9D" w:rsidRDefault="00251B9D">
      <w:r>
        <w:t>Aucunes absences ou retard</w:t>
      </w:r>
    </w:p>
    <w:p w:rsidR="00251B9D" w:rsidRDefault="00251B9D">
      <w:r>
        <w:t>Autonomes</w:t>
      </w:r>
    </w:p>
    <w:p w:rsidR="00251B9D" w:rsidRDefault="00251B9D">
      <w:r>
        <w:t>Disponibles, compétence dans de nombreux domaines</w:t>
      </w:r>
    </w:p>
    <w:p w:rsidR="00067531" w:rsidRDefault="00067531"/>
    <w:p w:rsidR="00067531" w:rsidRDefault="00067531" w:rsidP="00067531">
      <w:pPr>
        <w:pStyle w:val="Default"/>
        <w:rPr>
          <w:sz w:val="23"/>
          <w:szCs w:val="23"/>
        </w:rPr>
      </w:pPr>
      <w:proofErr w:type="spellStart"/>
      <w:r>
        <w:rPr>
          <w:sz w:val="23"/>
          <w:szCs w:val="23"/>
        </w:rPr>
        <w:t>Layout</w:t>
      </w:r>
      <w:proofErr w:type="spellEnd"/>
      <w:r>
        <w:rPr>
          <w:sz w:val="23"/>
          <w:szCs w:val="23"/>
        </w:rPr>
        <w:t xml:space="preserve"> </w:t>
      </w:r>
    </w:p>
    <w:p w:rsidR="00067531" w:rsidRDefault="00067531" w:rsidP="00067531">
      <w:pPr>
        <w:rPr>
          <w:sz w:val="23"/>
          <w:szCs w:val="23"/>
        </w:rPr>
      </w:pPr>
      <w:r>
        <w:rPr>
          <w:sz w:val="23"/>
          <w:szCs w:val="23"/>
        </w:rPr>
        <w:t xml:space="preserve">La réduction très importante du nombre de projets par an va entrainer une diminution de l’activité </w:t>
      </w:r>
      <w:proofErr w:type="spellStart"/>
      <w:r>
        <w:rPr>
          <w:sz w:val="23"/>
          <w:szCs w:val="23"/>
        </w:rPr>
        <w:t>layout</w:t>
      </w:r>
      <w:proofErr w:type="spellEnd"/>
      <w:r>
        <w:rPr>
          <w:sz w:val="23"/>
          <w:szCs w:val="23"/>
        </w:rPr>
        <w:t>.</w:t>
      </w:r>
      <w:r>
        <w:rPr>
          <w:sz w:val="23"/>
          <w:szCs w:val="23"/>
        </w:rPr>
        <w:t xml:space="preserve"> Passage de 7 à 6</w:t>
      </w:r>
    </w:p>
    <w:p w:rsidR="005A77FD" w:rsidRDefault="005A77FD" w:rsidP="00067531">
      <w:r>
        <w:rPr>
          <w:sz w:val="23"/>
          <w:szCs w:val="23"/>
        </w:rPr>
        <w:t>Design</w:t>
      </w:r>
      <w:r w:rsidR="001853A2">
        <w:rPr>
          <w:sz w:val="23"/>
          <w:szCs w:val="23"/>
        </w:rPr>
        <w:t xml:space="preserve"> 21 + </w:t>
      </w:r>
      <w:r w:rsidR="00644BF7">
        <w:rPr>
          <w:sz w:val="23"/>
          <w:szCs w:val="23"/>
        </w:rPr>
        <w:t>2</w:t>
      </w:r>
    </w:p>
    <w:sectPr w:rsidR="005A7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76A16"/>
    <w:multiLevelType w:val="multilevel"/>
    <w:tmpl w:val="1D74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802CC"/>
    <w:multiLevelType w:val="multilevel"/>
    <w:tmpl w:val="179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623BC"/>
    <w:multiLevelType w:val="multilevel"/>
    <w:tmpl w:val="46B0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A15D5"/>
    <w:multiLevelType w:val="multilevel"/>
    <w:tmpl w:val="8FEE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50"/>
    <w:rsid w:val="00023334"/>
    <w:rsid w:val="00067531"/>
    <w:rsid w:val="001853A2"/>
    <w:rsid w:val="00226571"/>
    <w:rsid w:val="00251B9D"/>
    <w:rsid w:val="002F4147"/>
    <w:rsid w:val="004815DE"/>
    <w:rsid w:val="005A77FD"/>
    <w:rsid w:val="00644BF7"/>
    <w:rsid w:val="00A53995"/>
    <w:rsid w:val="00B2517D"/>
    <w:rsid w:val="00BC5550"/>
    <w:rsid w:val="00D519E1"/>
    <w:rsid w:val="00E05008"/>
    <w:rsid w:val="00E21F12"/>
    <w:rsid w:val="00F20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C55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5550"/>
    <w:rPr>
      <w:rFonts w:ascii="Tahoma" w:hAnsi="Tahoma" w:cs="Tahoma"/>
      <w:sz w:val="16"/>
      <w:szCs w:val="16"/>
    </w:rPr>
  </w:style>
  <w:style w:type="paragraph" w:customStyle="1" w:styleId="Default">
    <w:name w:val="Default"/>
    <w:rsid w:val="0006753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F41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F4147"/>
    <w:rPr>
      <w:b/>
      <w:bCs/>
    </w:rPr>
  </w:style>
  <w:style w:type="character" w:customStyle="1" w:styleId="spipsurligne">
    <w:name w:val="spip_surligne"/>
    <w:basedOn w:val="Policepardfaut"/>
    <w:rsid w:val="002F4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C55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5550"/>
    <w:rPr>
      <w:rFonts w:ascii="Tahoma" w:hAnsi="Tahoma" w:cs="Tahoma"/>
      <w:sz w:val="16"/>
      <w:szCs w:val="16"/>
    </w:rPr>
  </w:style>
  <w:style w:type="paragraph" w:customStyle="1" w:styleId="Default">
    <w:name w:val="Default"/>
    <w:rsid w:val="0006753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F41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F4147"/>
    <w:rPr>
      <w:b/>
      <w:bCs/>
    </w:rPr>
  </w:style>
  <w:style w:type="character" w:customStyle="1" w:styleId="spipsurligne">
    <w:name w:val="spip_surligne"/>
    <w:basedOn w:val="Policepardfaut"/>
    <w:rsid w:val="002F4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895740">
      <w:bodyDiv w:val="1"/>
      <w:marLeft w:val="0"/>
      <w:marRight w:val="0"/>
      <w:marTop w:val="0"/>
      <w:marBottom w:val="0"/>
      <w:divBdr>
        <w:top w:val="none" w:sz="0" w:space="0" w:color="auto"/>
        <w:left w:val="none" w:sz="0" w:space="0" w:color="auto"/>
        <w:bottom w:val="none" w:sz="0" w:space="0" w:color="auto"/>
        <w:right w:val="none" w:sz="0" w:space="0" w:color="auto"/>
      </w:divBdr>
    </w:div>
    <w:div w:id="199807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398</Words>
  <Characters>2189</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14</cp:revision>
  <dcterms:created xsi:type="dcterms:W3CDTF">2011-10-19T14:33:00Z</dcterms:created>
  <dcterms:modified xsi:type="dcterms:W3CDTF">2011-10-19T15:57:00Z</dcterms:modified>
</cp:coreProperties>
</file>