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664" w:rsidRDefault="00A35664">
      <w:r>
        <w:t>procédure</w:t>
      </w:r>
    </w:p>
    <w:p w:rsidR="00267CC5" w:rsidRDefault="00E12A97">
      <w:hyperlink r:id="rId4" w:history="1">
        <w:r w:rsidRPr="00212A0E">
          <w:rPr>
            <w:rStyle w:val="Lienhypertexte"/>
          </w:rPr>
          <w:t>https://www.ellipse-avocats.com/2021/11/licenciement-au-sein-de-groupes-de-societes-attention-au-signataire-de-la-lettre-de-licenciement/</w:t>
        </w:r>
      </w:hyperlink>
    </w:p>
    <w:p w:rsidR="00E12A97" w:rsidRDefault="00E12A97">
      <w:hyperlink r:id="rId5" w:history="1">
        <w:r w:rsidRPr="00212A0E">
          <w:rPr>
            <w:rStyle w:val="Lienhypertexte"/>
          </w:rPr>
          <w:t>https://www.ellipse-avocats.com/2021/08/plan-de-sauvegarde-de-lemploi-pse-en-procedure-collective-le-recours-a-un-expert-par-le-cse-justifie-que-soient-organisees-deux-reunions/</w:t>
        </w:r>
      </w:hyperlink>
    </w:p>
    <w:p w:rsidR="00E12A97" w:rsidRDefault="00B032B8">
      <w:hyperlink r:id="rId6" w:history="1">
        <w:r w:rsidRPr="00212A0E">
          <w:rPr>
            <w:rStyle w:val="Lienhypertexte"/>
          </w:rPr>
          <w:t>https://www.ellipse-avocats.com/2021/07/inopposabilite-de-la-convention-de-forfait-en-heures-et-paiement-des-heures-supplementaires/</w:t>
        </w:r>
      </w:hyperlink>
    </w:p>
    <w:p w:rsidR="00B032B8" w:rsidRDefault="00B04951">
      <w:hyperlink r:id="rId7" w:history="1">
        <w:r w:rsidRPr="00212A0E">
          <w:rPr>
            <w:rStyle w:val="Lienhypertexte"/>
          </w:rPr>
          <w:t>https://www.ellipse-avocats.com/2021/02/restructurations-quelles-sanctions-en-cas-de-nullite-du-pse/</w:t>
        </w:r>
      </w:hyperlink>
    </w:p>
    <w:p w:rsidR="00B04951" w:rsidRDefault="00356AB8">
      <w:pPr>
        <w:rPr>
          <w:rFonts w:ascii="Arial" w:hAnsi="Arial" w:cs="Arial"/>
          <w:shd w:val="clear" w:color="auto" w:fill="FFFFFF"/>
        </w:rPr>
      </w:pPr>
      <w:proofErr w:type="gramStart"/>
      <w:r>
        <w:rPr>
          <w:rFonts w:ascii="Arial" w:hAnsi="Arial" w:cs="Arial"/>
          <w:shd w:val="clear" w:color="auto" w:fill="FFFFFF"/>
        </w:rPr>
        <w:t>le</w:t>
      </w:r>
      <w:proofErr w:type="gramEnd"/>
      <w:r>
        <w:rPr>
          <w:rFonts w:ascii="Arial" w:hAnsi="Arial" w:cs="Arial"/>
          <w:shd w:val="clear" w:color="auto" w:fill="FFFFFF"/>
        </w:rPr>
        <w:t xml:space="preserve"> salarié sera alors indemnisé à la hauteur du préjudice subi, qui ne pourra pas être inférieur à 6 mois de salaire</w:t>
      </w:r>
    </w:p>
    <w:p w:rsidR="000150DA" w:rsidRDefault="000150DA">
      <w:hyperlink r:id="rId8" w:history="1">
        <w:r w:rsidRPr="00212A0E">
          <w:rPr>
            <w:rStyle w:val="Lienhypertexte"/>
          </w:rPr>
          <w:t>https://www.ellipse-avocats.com/2019/12/defaut-dinformation-dans-le-cadre-du-pse-lexpert-designe-par-le-cse-doit-saisir-la-direccte-pas-le-juge/</w:t>
        </w:r>
      </w:hyperlink>
    </w:p>
    <w:p w:rsidR="000150DA" w:rsidRDefault="000150DA" w:rsidP="000150DA">
      <w:pPr>
        <w:ind w:left="708" w:hanging="708"/>
        <w:rPr>
          <w:rFonts w:ascii="Nunito Sans" w:hAnsi="Nunito Sans"/>
          <w:color w:val="676767"/>
          <w:sz w:val="27"/>
          <w:szCs w:val="27"/>
          <w:shd w:val="clear" w:color="auto" w:fill="FFFFFF"/>
        </w:rPr>
      </w:pPr>
      <w:proofErr w:type="gramStart"/>
      <w:r>
        <w:rPr>
          <w:rFonts w:ascii="Nunito Sans" w:hAnsi="Nunito Sans"/>
          <w:color w:val="676767"/>
          <w:sz w:val="27"/>
          <w:szCs w:val="27"/>
          <w:shd w:val="clear" w:color="auto" w:fill="FFFFFF"/>
        </w:rPr>
        <w:t>convention</w:t>
      </w:r>
      <w:proofErr w:type="gramEnd"/>
      <w:r>
        <w:rPr>
          <w:rFonts w:ascii="Nunito Sans" w:hAnsi="Nunito Sans"/>
          <w:color w:val="676767"/>
          <w:sz w:val="27"/>
          <w:szCs w:val="27"/>
          <w:shd w:val="clear" w:color="auto" w:fill="FFFFFF"/>
        </w:rPr>
        <w:t xml:space="preserve"> de forfait-jours annulée.</w:t>
      </w:r>
    </w:p>
    <w:p w:rsidR="00415127" w:rsidRDefault="00415127" w:rsidP="000150DA">
      <w:pPr>
        <w:ind w:left="708" w:hanging="708"/>
      </w:pPr>
      <w:hyperlink r:id="rId9" w:history="1">
        <w:r w:rsidRPr="00212A0E">
          <w:rPr>
            <w:rStyle w:val="Lienhypertexte"/>
          </w:rPr>
          <w:t>https://www.cse-guide.fr/clauses-contrat-travail/convention-de-forfait/</w:t>
        </w:r>
      </w:hyperlink>
    </w:p>
    <w:p w:rsidR="00415127" w:rsidRPr="00415127" w:rsidRDefault="00415127" w:rsidP="00415127">
      <w:pPr>
        <w:shd w:val="clear" w:color="auto" w:fill="FFFFFF"/>
        <w:spacing w:after="0" w:line="336" w:lineRule="atLeast"/>
        <w:jc w:val="center"/>
        <w:outlineLvl w:val="1"/>
        <w:rPr>
          <w:rFonts w:ascii="Arial" w:eastAsia="Times New Roman" w:hAnsi="Arial" w:cs="Arial"/>
          <w:b/>
          <w:bCs/>
          <w:sz w:val="39"/>
          <w:szCs w:val="39"/>
          <w:lang w:eastAsia="fr-FR"/>
        </w:rPr>
      </w:pPr>
      <w:r w:rsidRPr="00415127">
        <w:rPr>
          <w:rFonts w:ascii="Arial" w:eastAsia="Times New Roman" w:hAnsi="Arial" w:cs="Arial"/>
          <w:b/>
          <w:bCs/>
          <w:sz w:val="39"/>
          <w:szCs w:val="39"/>
          <w:lang w:eastAsia="fr-FR"/>
        </w:rPr>
        <w:t>Définition de la convention individuelle de forfait</w:t>
      </w:r>
    </w:p>
    <w:p w:rsidR="00415127" w:rsidRDefault="00415127" w:rsidP="000150DA">
      <w:pPr>
        <w:ind w:left="708" w:hanging="708"/>
      </w:pPr>
    </w:p>
    <w:p w:rsidR="00415127" w:rsidRDefault="00415127" w:rsidP="000150DA">
      <w:pPr>
        <w:ind w:left="708" w:hanging="708"/>
      </w:pPr>
      <w:r>
        <w:t>Clause obligatoire</w:t>
      </w:r>
    </w:p>
    <w:p w:rsidR="000568AD" w:rsidRDefault="000568AD" w:rsidP="000150DA">
      <w:pPr>
        <w:ind w:left="708" w:hanging="708"/>
      </w:pPr>
      <w:hyperlink r:id="rId10" w:history="1">
        <w:r w:rsidRPr="00212A0E">
          <w:rPr>
            <w:rStyle w:val="Lienhypertexte"/>
          </w:rPr>
          <w:t>https://brochard-avocat.com/les-conventions-de-forfait-partie-ii/</w:t>
        </w:r>
      </w:hyperlink>
    </w:p>
    <w:p w:rsidR="000568AD" w:rsidRDefault="00FF0E9D" w:rsidP="000150DA">
      <w:pPr>
        <w:ind w:left="708" w:hanging="708"/>
      </w:pPr>
      <w:r w:rsidRPr="00FF0E9D">
        <w:t>Convention individuelle forfait jours mentions obligatoires</w:t>
      </w:r>
    </w:p>
    <w:p w:rsidR="00FF0E9D" w:rsidRDefault="00FF0E9D" w:rsidP="000150DA">
      <w:pPr>
        <w:ind w:left="708" w:hanging="708"/>
      </w:pPr>
      <w:hyperlink r:id="rId11" w:history="1">
        <w:r w:rsidRPr="00212A0E">
          <w:rPr>
            <w:rStyle w:val="Lienhypertexte"/>
          </w:rPr>
          <w:t>https://travail-emploi.gouv.fr/droit-du-travail/temps-de-travail/article/les-conventions-de-forfait</w:t>
        </w:r>
      </w:hyperlink>
    </w:p>
    <w:bookmarkStart w:id="0" w:name="_GoBack"/>
    <w:p w:rsidR="00FF0E9D" w:rsidRPr="002E629B" w:rsidRDefault="00FF0E9D" w:rsidP="000150DA">
      <w:pPr>
        <w:ind w:left="708" w:hanging="708"/>
        <w:rPr>
          <w:color w:val="FF0000"/>
        </w:rPr>
      </w:pPr>
      <w:r w:rsidRPr="002E629B">
        <w:rPr>
          <w:color w:val="FF0000"/>
        </w:rPr>
        <w:fldChar w:fldCharType="begin"/>
      </w:r>
      <w:r w:rsidRPr="002E629B">
        <w:rPr>
          <w:color w:val="FF0000"/>
        </w:rPr>
        <w:instrText xml:space="preserve"> HYPERLINK "https://www2.liaisons-sociales.fr/120-190-comment-mettre-en-place-le-forfait-annuel-en-jours/" </w:instrText>
      </w:r>
      <w:r w:rsidRPr="002E629B">
        <w:rPr>
          <w:color w:val="FF0000"/>
        </w:rPr>
        <w:fldChar w:fldCharType="separate"/>
      </w:r>
      <w:r w:rsidRPr="002E629B">
        <w:rPr>
          <w:rStyle w:val="Lienhypertexte"/>
          <w:color w:val="FF0000"/>
        </w:rPr>
        <w:t>https://www2.liaisons-sociales.fr/120-190-comment-mettre-en-place-le-forfait-annuel-en-jours/</w:t>
      </w:r>
      <w:r w:rsidRPr="002E629B">
        <w:rPr>
          <w:color w:val="FF0000"/>
        </w:rPr>
        <w:fldChar w:fldCharType="end"/>
      </w:r>
    </w:p>
    <w:bookmarkEnd w:id="0"/>
    <w:p w:rsidR="00FF0E9D" w:rsidRDefault="00FF0E9D" w:rsidP="000150DA">
      <w:pPr>
        <w:ind w:left="708" w:hanging="708"/>
        <w:rPr>
          <w:color w:val="FF0000"/>
        </w:rPr>
      </w:pPr>
      <w:r>
        <w:rPr>
          <w:noProof/>
          <w:color w:val="FF0000"/>
          <w:lang w:eastAsia="fr-FR"/>
        </w:rPr>
        <w:drawing>
          <wp:inline distT="0" distB="0" distL="0" distR="0">
            <wp:extent cx="5760720" cy="8578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01288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0E4" w:rsidRDefault="009F00E4" w:rsidP="000150DA">
      <w:pPr>
        <w:ind w:left="708" w:hanging="708"/>
        <w:rPr>
          <w:rFonts w:ascii="Arial" w:hAnsi="Arial" w:cs="Arial"/>
          <w:color w:val="212529"/>
          <w:sz w:val="26"/>
          <w:szCs w:val="26"/>
          <w:shd w:val="clear" w:color="auto" w:fill="FFFFFF"/>
        </w:rPr>
      </w:pPr>
      <w:proofErr w:type="spellStart"/>
      <w:r>
        <w:rPr>
          <w:rStyle w:val="ref"/>
          <w:rFonts w:ascii="Arial" w:hAnsi="Arial" w:cs="Arial"/>
          <w:color w:val="212529"/>
          <w:sz w:val="26"/>
          <w:szCs w:val="26"/>
          <w:shd w:val="clear" w:color="auto" w:fill="FFFFFF"/>
        </w:rPr>
        <w:t>Cass</w:t>
      </w:r>
      <w:proofErr w:type="spellEnd"/>
      <w:r>
        <w:rPr>
          <w:rStyle w:val="ref"/>
          <w:rFonts w:ascii="Arial" w:hAnsi="Arial" w:cs="Arial"/>
          <w:color w:val="212529"/>
          <w:sz w:val="26"/>
          <w:szCs w:val="26"/>
          <w:shd w:val="clear" w:color="auto" w:fill="FFFFFF"/>
        </w:rPr>
        <w:t>. soc., 12 mars 2014, nº 12-29.141</w:t>
      </w:r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>), ni un nombre maximum de jours à travailler (</w:t>
      </w:r>
      <w:proofErr w:type="spellStart"/>
      <w:r>
        <w:rPr>
          <w:rStyle w:val="ref"/>
          <w:rFonts w:ascii="Arial" w:hAnsi="Arial" w:cs="Arial"/>
          <w:color w:val="212529"/>
          <w:sz w:val="26"/>
          <w:szCs w:val="26"/>
          <w:shd w:val="clear" w:color="auto" w:fill="FFFFFF"/>
        </w:rPr>
        <w:t>Cass</w:t>
      </w:r>
      <w:proofErr w:type="spellEnd"/>
      <w:r>
        <w:rPr>
          <w:rStyle w:val="ref"/>
          <w:rFonts w:ascii="Arial" w:hAnsi="Arial" w:cs="Arial"/>
          <w:color w:val="212529"/>
          <w:sz w:val="26"/>
          <w:szCs w:val="26"/>
          <w:shd w:val="clear" w:color="auto" w:fill="FFFFFF"/>
        </w:rPr>
        <w:t xml:space="preserve">. </w:t>
      </w:r>
      <w:proofErr w:type="gramStart"/>
      <w:r>
        <w:rPr>
          <w:rStyle w:val="ref"/>
          <w:rFonts w:ascii="Arial" w:hAnsi="Arial" w:cs="Arial"/>
          <w:color w:val="212529"/>
          <w:sz w:val="26"/>
          <w:szCs w:val="26"/>
          <w:shd w:val="clear" w:color="auto" w:fill="FFFFFF"/>
        </w:rPr>
        <w:t>soc.,</w:t>
      </w:r>
      <w:proofErr w:type="gramEnd"/>
      <w:r>
        <w:rPr>
          <w:rStyle w:val="ref"/>
          <w:rFonts w:ascii="Arial" w:hAnsi="Arial" w:cs="Arial"/>
          <w:color w:val="212529"/>
          <w:sz w:val="26"/>
          <w:szCs w:val="26"/>
          <w:shd w:val="clear" w:color="auto" w:fill="FFFFFF"/>
        </w:rPr>
        <w:t xml:space="preserve"> 12 févr. 2015, nº 13-17.516</w:t>
      </w:r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>).</w:t>
      </w:r>
    </w:p>
    <w:p w:rsidR="00F106B2" w:rsidRDefault="00F106B2" w:rsidP="000150DA">
      <w:pPr>
        <w:ind w:left="708" w:hanging="708"/>
        <w:rPr>
          <w:rFonts w:ascii="Arial" w:hAnsi="Arial" w:cs="Arial"/>
          <w:color w:val="212529"/>
          <w:sz w:val="26"/>
          <w:szCs w:val="26"/>
          <w:shd w:val="clear" w:color="auto" w:fill="FFFFFF"/>
        </w:rPr>
      </w:pPr>
      <w:proofErr w:type="gramStart"/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>la</w:t>
      </w:r>
      <w:proofErr w:type="gramEnd"/>
      <w:r>
        <w:rPr>
          <w:rFonts w:ascii="Arial" w:hAnsi="Arial" w:cs="Arial"/>
          <w:color w:val="212529"/>
          <w:sz w:val="26"/>
          <w:szCs w:val="26"/>
          <w:shd w:val="clear" w:color="auto" w:fill="FFFFFF"/>
        </w:rPr>
        <w:t xml:space="preserve"> convention de forfait doit précisément fixer le nombre de jours travaillés</w:t>
      </w:r>
    </w:p>
    <w:p w:rsidR="002E629B" w:rsidRPr="00FF0E9D" w:rsidRDefault="002E629B" w:rsidP="000150DA">
      <w:pPr>
        <w:ind w:left="708" w:hanging="708"/>
        <w:rPr>
          <w:color w:val="FF0000"/>
        </w:rPr>
      </w:pPr>
      <w:r w:rsidRPr="002E629B">
        <w:rPr>
          <w:color w:val="FF0000"/>
        </w:rPr>
        <w:t>https://carole-vercheyre-grard.fr/une-convention-de-forfait-en-jours-doit-fixer-le-nombre-precis-de-jours-travailles/</w:t>
      </w:r>
    </w:p>
    <w:sectPr w:rsidR="002E629B" w:rsidRPr="00FF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64"/>
    <w:rsid w:val="000150DA"/>
    <w:rsid w:val="000568AD"/>
    <w:rsid w:val="002609B0"/>
    <w:rsid w:val="00267CC5"/>
    <w:rsid w:val="002E629B"/>
    <w:rsid w:val="00356AB8"/>
    <w:rsid w:val="00415127"/>
    <w:rsid w:val="009F00E4"/>
    <w:rsid w:val="00A141CF"/>
    <w:rsid w:val="00A35664"/>
    <w:rsid w:val="00B032B8"/>
    <w:rsid w:val="00B04951"/>
    <w:rsid w:val="00E12A97"/>
    <w:rsid w:val="00F106B2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63719-01D7-4F13-ABFD-6BEC12E5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4151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12A97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1512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ref">
    <w:name w:val="ref"/>
    <w:basedOn w:val="Policepardfaut"/>
    <w:rsid w:val="009F0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lipse-avocats.com/2019/12/defaut-dinformation-dans-le-cadre-du-pse-lexpert-designe-par-le-cse-doit-saisir-la-direccte-pas-le-jug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llipse-avocats.com/2021/02/restructurations-quelles-sanctions-en-cas-de-nullite-du-pse/" TargetMode="External"/><Relationship Id="rId12" Type="http://schemas.openxmlformats.org/officeDocument/2006/relationships/image" Target="media/image1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lipse-avocats.com/2021/07/inopposabilite-de-la-convention-de-forfait-en-heures-et-paiement-des-heures-supplementaires/" TargetMode="External"/><Relationship Id="rId11" Type="http://schemas.openxmlformats.org/officeDocument/2006/relationships/hyperlink" Target="https://travail-emploi.gouv.fr/droit-du-travail/temps-de-travail/article/les-conventions-de-forfait" TargetMode="External"/><Relationship Id="rId5" Type="http://schemas.openxmlformats.org/officeDocument/2006/relationships/hyperlink" Target="https://www.ellipse-avocats.com/2021/08/plan-de-sauvegarde-de-lemploi-pse-en-procedure-collective-le-recours-a-un-expert-par-le-cse-justifie-que-soient-organisees-deux-reunions/" TargetMode="External"/><Relationship Id="rId10" Type="http://schemas.openxmlformats.org/officeDocument/2006/relationships/hyperlink" Target="https://brochard-avocat.com/les-conventions-de-forfait-partie-ii/" TargetMode="External"/><Relationship Id="rId4" Type="http://schemas.openxmlformats.org/officeDocument/2006/relationships/hyperlink" Target="https://www.ellipse-avocats.com/2021/11/licenciement-au-sein-de-groupes-de-societes-attention-au-signataire-de-la-lettre-de-licenciement/" TargetMode="External"/><Relationship Id="rId9" Type="http://schemas.openxmlformats.org/officeDocument/2006/relationships/hyperlink" Target="https://www.cse-guide.fr/clauses-contrat-travail/convention-de-forfa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10</cp:revision>
  <dcterms:created xsi:type="dcterms:W3CDTF">2023-03-18T16:24:00Z</dcterms:created>
  <dcterms:modified xsi:type="dcterms:W3CDTF">2023-03-18T22:57:00Z</dcterms:modified>
</cp:coreProperties>
</file>