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6A" w:rsidRDefault="00B652F3">
      <w:r>
        <w:t>PSE :</w:t>
      </w:r>
    </w:p>
    <w:p w:rsidR="00B652F3" w:rsidRDefault="00B652F3">
      <w:pPr>
        <w:rPr>
          <w:rStyle w:val="lev"/>
          <w:rFonts w:ascii="Poppins" w:hAnsi="Poppins"/>
          <w:color w:val="000000"/>
          <w:sz w:val="27"/>
          <w:szCs w:val="27"/>
        </w:rPr>
      </w:pPr>
      <w:r>
        <w:rPr>
          <w:rFonts w:ascii="Poppins" w:hAnsi="Poppins"/>
          <w:color w:val="000000"/>
          <w:sz w:val="27"/>
          <w:szCs w:val="27"/>
        </w:rPr>
        <w:t>Le PSE doit être </w:t>
      </w:r>
      <w:r>
        <w:rPr>
          <w:rStyle w:val="lev"/>
          <w:rFonts w:ascii="Poppins" w:hAnsi="Poppins"/>
          <w:color w:val="000000"/>
          <w:sz w:val="27"/>
          <w:szCs w:val="27"/>
        </w:rPr>
        <w:t>proportionné aux moyens de l’entreprise</w:t>
      </w:r>
      <w:r>
        <w:rPr>
          <w:rFonts w:ascii="Poppins" w:hAnsi="Poppins"/>
          <w:color w:val="000000"/>
          <w:sz w:val="27"/>
          <w:szCs w:val="27"/>
        </w:rPr>
        <w:t> : en fonction de sa taille, de si l’entreprise est déclarée ou non en situation de redressement judiciaire, … etc., de la situation </w:t>
      </w:r>
      <w:r>
        <w:rPr>
          <w:rStyle w:val="lev"/>
          <w:rFonts w:ascii="Poppins" w:hAnsi="Poppins"/>
          <w:color w:val="000000"/>
          <w:sz w:val="27"/>
          <w:szCs w:val="27"/>
        </w:rPr>
        <w:t>du groupe auquel appartient l’entreprise.</w:t>
      </w:r>
    </w:p>
    <w:p w:rsidR="00B652F3" w:rsidRDefault="00B652F3">
      <w:pPr>
        <w:rPr>
          <w:rStyle w:val="lev"/>
          <w:rFonts w:ascii="Poppins" w:hAnsi="Poppins"/>
          <w:color w:val="000000"/>
          <w:sz w:val="27"/>
          <w:szCs w:val="27"/>
        </w:rPr>
      </w:pPr>
    </w:p>
    <w:p w:rsidR="00B652F3" w:rsidRDefault="00B652F3">
      <w:r>
        <w:rPr>
          <w:noProof/>
          <w:lang w:eastAsia="fr-FR"/>
        </w:rPr>
        <w:drawing>
          <wp:inline distT="0" distB="0" distL="0" distR="0" wp14:anchorId="3CB8D75C" wp14:editId="7C221768">
            <wp:extent cx="5760720" cy="13919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A68" w:rsidRDefault="00E87A68"/>
    <w:p w:rsidR="00E87A68" w:rsidRPr="00E87A68" w:rsidRDefault="00E87A68" w:rsidP="00E87A68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olor w:val="E5623E"/>
          <w:kern w:val="36"/>
          <w:sz w:val="48"/>
          <w:szCs w:val="48"/>
          <w:lang w:eastAsia="fr-FR"/>
        </w:rPr>
      </w:pPr>
      <w:r w:rsidRPr="00E87A68">
        <w:rPr>
          <w:rFonts w:ascii="Open Sans" w:eastAsia="Times New Roman" w:hAnsi="Open Sans" w:cs="Open Sans"/>
          <w:b/>
          <w:bCs/>
          <w:color w:val="E5623E"/>
          <w:kern w:val="36"/>
          <w:sz w:val="48"/>
          <w:szCs w:val="48"/>
          <w:lang w:eastAsia="fr-FR"/>
        </w:rPr>
        <w:t>Appréciation de la pertinence des mesures du PSE au regard des moyens financiers du groupe</w:t>
      </w:r>
    </w:p>
    <w:p w:rsidR="00E87A68" w:rsidRDefault="00E87A68"/>
    <w:p w:rsidR="008F2353" w:rsidRDefault="008F2353">
      <w:hyperlink r:id="rId5" w:history="1">
        <w:r w:rsidRPr="006E1C83">
          <w:rPr>
            <w:rStyle w:val="Lienhypertexte"/>
          </w:rPr>
          <w:t>https://www.lexbase.fr/article-juridique/35896436-breves-appreciation-de-la-pertinence-des-mesures-du-pse-au-regard-des-moyens-financiers-du-groupe</w:t>
        </w:r>
      </w:hyperlink>
      <w:r>
        <w:t xml:space="preserve"> </w:t>
      </w:r>
    </w:p>
    <w:p w:rsidR="008F2353" w:rsidRDefault="008F2353"/>
    <w:p w:rsidR="00C975B6" w:rsidRDefault="00C975B6">
      <w:hyperlink r:id="rId6" w:history="1">
        <w:r w:rsidRPr="006E1C83">
          <w:rPr>
            <w:rStyle w:val="Lienhypertexte"/>
          </w:rPr>
          <w:t>https://fr.linkedin.com/pulse/pertinence-dun-pse-en-fonction-des-moyens-financiers-du-prevel</w:t>
        </w:r>
      </w:hyperlink>
    </w:p>
    <w:p w:rsidR="00C975B6" w:rsidRDefault="00C975B6"/>
    <w:p w:rsidR="00204387" w:rsidRDefault="00204387">
      <w:hyperlink r:id="rId7" w:history="1">
        <w:r w:rsidRPr="006E1C83">
          <w:rPr>
            <w:rStyle w:val="Lienhypertexte"/>
          </w:rPr>
          <w:t>http://www.sociall-avocats.fr/index.php/blog-sociall/89-pertinence-du-pse-une-societe-detenant-le-capital-peut-elle-etre-consideree-comme-l-entreprise-dominante-du-groupe</w:t>
        </w:r>
      </w:hyperlink>
    </w:p>
    <w:p w:rsidR="00204387" w:rsidRDefault="00204387"/>
    <w:p w:rsidR="00BE1DE5" w:rsidRDefault="00BE1DE5">
      <w:hyperlink r:id="rId8" w:history="1">
        <w:r w:rsidRPr="006E1C83">
          <w:rPr>
            <w:rStyle w:val="Lienhypertexte"/>
          </w:rPr>
          <w:t>https://www.lexplicite.fr/la-prise-en-compte-des-holding-purement-financieres-dans-lappreciation-des-moyens-du-pse/</w:t>
        </w:r>
      </w:hyperlink>
    </w:p>
    <w:p w:rsidR="00BE1DE5" w:rsidRDefault="00BE1DE5"/>
    <w:p w:rsidR="001A0422" w:rsidRDefault="001A0422">
      <w:r>
        <w:rPr>
          <w:noProof/>
          <w:lang w:eastAsia="fr-FR"/>
        </w:rPr>
        <w:lastRenderedPageBreak/>
        <w:drawing>
          <wp:inline distT="0" distB="0" distL="0" distR="0" wp14:anchorId="68192518" wp14:editId="0B4DFCE6">
            <wp:extent cx="5760720" cy="2298065"/>
            <wp:effectExtent l="0" t="0" r="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0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2F3"/>
    <w:rsid w:val="001A0422"/>
    <w:rsid w:val="00204387"/>
    <w:rsid w:val="008F2353"/>
    <w:rsid w:val="0090566A"/>
    <w:rsid w:val="00B652F3"/>
    <w:rsid w:val="00BE1DE5"/>
    <w:rsid w:val="00C975B6"/>
    <w:rsid w:val="00CD3D17"/>
    <w:rsid w:val="00E8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B3879-95E9-444E-AF1B-C4D361E5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87A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652F3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E87A6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8F2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0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xplicite.fr/la-prise-en-compte-des-holding-purement-financieres-dans-lappreciation-des-moyens-du-ps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ociall-avocats.fr/index.php/blog-sociall/89-pertinence-du-pse-une-societe-detenant-le-capital-peut-elle-etre-consideree-comme-l-entreprise-dominante-du-grou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linkedin.com/pulse/pertinence-dun-pse-en-fonction-des-moyens-financiers-du-preve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exbase.fr/article-juridique/35896436-breves-appreciation-de-la-pertinence-des-mesures-du-pse-au-regard-des-moyens-financiers-du-groupe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7</cp:revision>
  <dcterms:created xsi:type="dcterms:W3CDTF">2023-03-17T22:50:00Z</dcterms:created>
  <dcterms:modified xsi:type="dcterms:W3CDTF">2023-03-17T23:07:00Z</dcterms:modified>
</cp:coreProperties>
</file>