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60D" w:rsidRPr="00EB360D" w:rsidRDefault="00EB360D" w:rsidP="00EB360D">
      <w:pPr>
        <w:pStyle w:val="NormalWeb"/>
        <w:ind w:left="720"/>
        <w:rPr>
          <w:lang w:val="fr-FR"/>
        </w:rPr>
      </w:pPr>
      <w:r>
        <w:rPr>
          <w:b/>
          <w:bCs/>
          <w:noProof/>
        </w:rPr>
        <w:drawing>
          <wp:inline distT="0" distB="0" distL="0" distR="0">
            <wp:extent cx="5943600" cy="1682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4AB93.tmp"/>
                    <pic:cNvPicPr/>
                  </pic:nvPicPr>
                  <pic:blipFill>
                    <a:blip r:embed="rId6">
                      <a:extLst>
                        <a:ext uri="{28A0092B-C50C-407E-A947-70E740481C1C}">
                          <a14:useLocalDpi xmlns:a14="http://schemas.microsoft.com/office/drawing/2010/main" val="0"/>
                        </a:ext>
                      </a:extLst>
                    </a:blip>
                    <a:stretch>
                      <a:fillRect/>
                    </a:stretch>
                  </pic:blipFill>
                  <pic:spPr>
                    <a:xfrm>
                      <a:off x="0" y="0"/>
                      <a:ext cx="5943600" cy="1682750"/>
                    </a:xfrm>
                    <a:prstGeom prst="rect">
                      <a:avLst/>
                    </a:prstGeom>
                  </pic:spPr>
                </pic:pic>
              </a:graphicData>
            </a:graphic>
          </wp:inline>
        </w:drawing>
      </w:r>
      <w:proofErr w:type="gramStart"/>
      <w:r w:rsidRPr="00EB360D">
        <w:rPr>
          <w:rStyle w:val="Strong"/>
          <w:lang w:val="fr-FR"/>
        </w:rPr>
        <w:t>1.L’employeur</w:t>
      </w:r>
      <w:proofErr w:type="gramEnd"/>
      <w:r w:rsidRPr="00EB360D">
        <w:rPr>
          <w:rStyle w:val="Strong"/>
          <w:lang w:val="fr-FR"/>
        </w:rPr>
        <w:t xml:space="preserve"> peut-il interdire l’utilisation du téléphone portable personnel pendant les horaires de travail ?</w:t>
      </w:r>
    </w:p>
    <w:p w:rsidR="00EB360D" w:rsidRPr="00EB360D" w:rsidRDefault="00EB360D" w:rsidP="00EB360D">
      <w:pPr>
        <w:pStyle w:val="NormalWeb"/>
        <w:rPr>
          <w:lang w:val="fr-FR"/>
        </w:rPr>
      </w:pPr>
      <w:r w:rsidRPr="00EB360D">
        <w:rPr>
          <w:lang w:val="fr-FR"/>
        </w:rPr>
        <w:t xml:space="preserve">L’employeur ne peut apporter des restrictions aux droits des salariés et à leurs libertés individuelles qui ne seraient pas justifiées par la nature de la tâche à accomplir ni proportionnées au but recherché (C. </w:t>
      </w:r>
      <w:proofErr w:type="spellStart"/>
      <w:r w:rsidRPr="00EB360D">
        <w:rPr>
          <w:lang w:val="fr-FR"/>
        </w:rPr>
        <w:t>trav</w:t>
      </w:r>
      <w:proofErr w:type="spellEnd"/>
      <w:r w:rsidRPr="00EB360D">
        <w:rPr>
          <w:lang w:val="fr-FR"/>
        </w:rPr>
        <w:t>. art. L. 1121-1).</w:t>
      </w:r>
    </w:p>
    <w:p w:rsidR="00EB360D" w:rsidRPr="00EB360D" w:rsidRDefault="00EB360D" w:rsidP="00EB360D">
      <w:pPr>
        <w:pStyle w:val="NormalWeb"/>
        <w:rPr>
          <w:lang w:val="fr-FR"/>
        </w:rPr>
      </w:pPr>
      <w:r w:rsidRPr="00EB360D">
        <w:rPr>
          <w:lang w:val="fr-FR"/>
        </w:rPr>
        <w:t>L’article L. 1321-3 du Code du travail reprend la même interdiction s’agissant du règlement intérieur, qui ne peut contenir de clauses ainsi restrictives.</w:t>
      </w:r>
    </w:p>
    <w:p w:rsidR="00EB360D" w:rsidRPr="00EB360D" w:rsidRDefault="00EB360D" w:rsidP="00EB360D">
      <w:pPr>
        <w:pStyle w:val="NormalWeb"/>
        <w:rPr>
          <w:lang w:val="fr-FR"/>
        </w:rPr>
      </w:pPr>
      <w:r w:rsidRPr="00EB360D">
        <w:rPr>
          <w:lang w:val="fr-FR"/>
        </w:rPr>
        <w:t>Il en résulte qu’une interdiction générale et absolue d’utiliser le téléphone portable personnel, sur le lieu de travail et pendant les horaires de travail, peut être considérée comme abusive.</w:t>
      </w:r>
    </w:p>
    <w:p w:rsidR="00EB360D" w:rsidRPr="00EB360D" w:rsidRDefault="00EB360D" w:rsidP="00EB360D">
      <w:pPr>
        <w:pStyle w:val="NormalWeb"/>
        <w:rPr>
          <w:lang w:val="fr-FR"/>
        </w:rPr>
      </w:pPr>
      <w:r w:rsidRPr="00EB360D">
        <w:rPr>
          <w:lang w:val="fr-FR"/>
        </w:rPr>
        <w:t>En revanche, des situations de travail particulières peuvent parfaitement justifier cette interdiction (conduite, travail posté, travaux en hauteur…).</w:t>
      </w:r>
    </w:p>
    <w:p w:rsidR="00AC37D5" w:rsidRDefault="00464065">
      <w:pPr>
        <w:rPr>
          <w:b/>
          <w:lang w:val="fr-FR"/>
        </w:rPr>
      </w:pPr>
    </w:p>
    <w:p w:rsidR="00EB360D" w:rsidRDefault="00EB360D">
      <w:pPr>
        <w:rPr>
          <w:lang w:val="fr-FR"/>
        </w:rPr>
      </w:pPr>
      <w:r w:rsidRPr="00EB360D">
        <w:rPr>
          <w:lang w:val="fr-FR"/>
        </w:rPr>
        <w:t>Par le règlement intérieur ou par une note de service il est possible de réglementer</w:t>
      </w:r>
    </w:p>
    <w:p w:rsidR="00EB360D" w:rsidRPr="00EB360D" w:rsidRDefault="00EB360D" w:rsidP="00EB360D">
      <w:pPr>
        <w:tabs>
          <w:tab w:val="num" w:pos="1440"/>
        </w:tabs>
        <w:spacing w:after="0" w:line="240" w:lineRule="auto"/>
        <w:ind w:left="1440" w:hanging="360"/>
        <w:jc w:val="both"/>
        <w:rPr>
          <w:rFonts w:ascii="Times New Roman" w:eastAsia="Times New Roman" w:hAnsi="Times New Roman" w:cs="Times New Roman"/>
          <w:sz w:val="24"/>
          <w:szCs w:val="24"/>
          <w:lang w:val="fr-FR"/>
        </w:rPr>
      </w:pPr>
      <w:r w:rsidRPr="00EB360D">
        <w:rPr>
          <w:rFonts w:ascii="Comic Sans MS" w:eastAsia="Times New Roman" w:hAnsi="Comic Sans MS" w:cs="Times New Roman"/>
          <w:b/>
          <w:sz w:val="24"/>
          <w:szCs w:val="24"/>
          <w:u w:val="single"/>
          <w:lang w:val="fr-FR"/>
        </w:rPr>
        <w:t>Code Civil :</w:t>
      </w:r>
      <w:r w:rsidRPr="00EB360D">
        <w:rPr>
          <w:rFonts w:ascii="Comic Sans MS" w:eastAsia="Times New Roman" w:hAnsi="Comic Sans MS" w:cs="Times New Roman"/>
          <w:sz w:val="24"/>
          <w:szCs w:val="24"/>
          <w:lang w:val="fr-FR"/>
        </w:rPr>
        <w:t xml:space="preserve"> Art. 9 </w:t>
      </w:r>
      <w:proofErr w:type="gramStart"/>
      <w:r w:rsidRPr="00EB360D">
        <w:rPr>
          <w:rFonts w:ascii="Comic Sans MS" w:eastAsia="Times New Roman" w:hAnsi="Comic Sans MS" w:cs="Times New Roman"/>
          <w:sz w:val="24"/>
          <w:szCs w:val="24"/>
          <w:lang w:val="fr-FR"/>
        </w:rPr>
        <w:t>relatif</w:t>
      </w:r>
      <w:proofErr w:type="gramEnd"/>
      <w:r w:rsidRPr="00EB360D">
        <w:rPr>
          <w:rFonts w:ascii="Comic Sans MS" w:eastAsia="Times New Roman" w:hAnsi="Comic Sans MS" w:cs="Times New Roman"/>
          <w:sz w:val="24"/>
          <w:szCs w:val="24"/>
          <w:lang w:val="fr-FR"/>
        </w:rPr>
        <w:t xml:space="preserve"> à l’atteinte à l’intimité de la vie privée du « </w:t>
      </w:r>
      <w:r w:rsidRPr="00EB360D">
        <w:rPr>
          <w:rFonts w:ascii="Comic Sans MS" w:eastAsia="Times New Roman" w:hAnsi="Comic Sans MS" w:cs="Times New Roman"/>
          <w:i/>
          <w:sz w:val="24"/>
          <w:szCs w:val="24"/>
          <w:lang w:val="fr-FR"/>
        </w:rPr>
        <w:t>citoyen-salarié</w:t>
      </w:r>
      <w:r w:rsidRPr="00EB360D">
        <w:rPr>
          <w:rFonts w:ascii="Comic Sans MS" w:eastAsia="Times New Roman" w:hAnsi="Comic Sans MS" w:cs="Times New Roman"/>
          <w:sz w:val="24"/>
          <w:szCs w:val="24"/>
          <w:lang w:val="fr-FR"/>
        </w:rPr>
        <w:t> ».</w:t>
      </w:r>
      <w:r w:rsidRPr="00EB360D">
        <w:rPr>
          <w:rFonts w:ascii="Times New Roman" w:eastAsia="Times New Roman" w:hAnsi="Times New Roman" w:cs="Times New Roman"/>
          <w:sz w:val="24"/>
          <w:szCs w:val="24"/>
          <w:lang w:val="fr-FR"/>
        </w:rPr>
        <w:t xml:space="preserve"> </w:t>
      </w:r>
    </w:p>
    <w:p w:rsidR="00EB360D" w:rsidRPr="00EB360D" w:rsidRDefault="00EB360D" w:rsidP="00EB360D">
      <w:pPr>
        <w:spacing w:after="0" w:line="240" w:lineRule="auto"/>
        <w:jc w:val="both"/>
        <w:rPr>
          <w:rFonts w:ascii="Times New Roman" w:eastAsia="Times New Roman" w:hAnsi="Times New Roman" w:cs="Times New Roman"/>
          <w:sz w:val="24"/>
          <w:szCs w:val="24"/>
          <w:lang w:val="fr-FR"/>
        </w:rPr>
      </w:pPr>
      <w:r w:rsidRPr="00EB360D">
        <w:rPr>
          <w:rFonts w:ascii="Comic Sans MS" w:eastAsia="Times New Roman" w:hAnsi="Comic Sans MS" w:cs="Times New Roman"/>
          <w:sz w:val="24"/>
          <w:szCs w:val="24"/>
          <w:lang w:val="fr-FR"/>
        </w:rPr>
        <w:t> </w:t>
      </w:r>
      <w:r w:rsidRPr="00EB360D">
        <w:rPr>
          <w:rFonts w:ascii="Times New Roman" w:eastAsia="Times New Roman" w:hAnsi="Times New Roman" w:cs="Times New Roman"/>
          <w:sz w:val="24"/>
          <w:szCs w:val="24"/>
          <w:lang w:val="fr-FR"/>
        </w:rPr>
        <w:t xml:space="preserve"> </w:t>
      </w:r>
    </w:p>
    <w:p w:rsidR="00EB360D" w:rsidRPr="00EB360D" w:rsidRDefault="00EB360D" w:rsidP="00EB360D">
      <w:pPr>
        <w:tabs>
          <w:tab w:val="num" w:pos="1440"/>
        </w:tabs>
        <w:spacing w:after="0" w:line="240" w:lineRule="auto"/>
        <w:ind w:left="1440" w:hanging="360"/>
        <w:jc w:val="both"/>
        <w:rPr>
          <w:rFonts w:ascii="Times New Roman" w:eastAsia="Times New Roman" w:hAnsi="Times New Roman" w:cs="Times New Roman"/>
          <w:sz w:val="24"/>
          <w:szCs w:val="24"/>
          <w:lang w:val="fr-FR"/>
        </w:rPr>
      </w:pPr>
      <w:r w:rsidRPr="00EB360D">
        <w:rPr>
          <w:rFonts w:ascii="Wingdings" w:eastAsia="Wingdings" w:hAnsi="Wingdings" w:cs="Wingdings"/>
          <w:sz w:val="24"/>
          <w:szCs w:val="24"/>
        </w:rPr>
        <w:t></w:t>
      </w:r>
      <w:r w:rsidRPr="00EB360D">
        <w:rPr>
          <w:rFonts w:ascii="Times New Roman" w:eastAsia="Wingdings" w:hAnsi="Times New Roman" w:cs="Times New Roman"/>
          <w:sz w:val="14"/>
          <w:szCs w:val="14"/>
          <w:lang w:val="fr-FR"/>
        </w:rPr>
        <w:t>     </w:t>
      </w:r>
      <w:r w:rsidRPr="00EB360D">
        <w:rPr>
          <w:rFonts w:ascii="Comic Sans MS" w:eastAsia="Times New Roman" w:hAnsi="Comic Sans MS" w:cs="Times New Roman"/>
          <w:sz w:val="24"/>
          <w:szCs w:val="24"/>
          <w:lang w:val="fr-FR"/>
        </w:rPr>
        <w:t xml:space="preserve"> </w:t>
      </w:r>
      <w:r w:rsidRPr="00EB360D">
        <w:rPr>
          <w:rFonts w:ascii="Comic Sans MS" w:eastAsia="Times New Roman" w:hAnsi="Comic Sans MS" w:cs="Times New Roman"/>
          <w:b/>
          <w:sz w:val="24"/>
          <w:szCs w:val="24"/>
          <w:u w:val="single"/>
          <w:lang w:val="fr-FR"/>
        </w:rPr>
        <w:t xml:space="preserve">Convention Européenne des Droits de </w:t>
      </w:r>
      <w:proofErr w:type="gramStart"/>
      <w:r w:rsidRPr="00EB360D">
        <w:rPr>
          <w:rFonts w:ascii="Comic Sans MS" w:eastAsia="Times New Roman" w:hAnsi="Comic Sans MS" w:cs="Times New Roman"/>
          <w:b/>
          <w:sz w:val="24"/>
          <w:szCs w:val="24"/>
          <w:u w:val="single"/>
          <w:lang w:val="fr-FR"/>
        </w:rPr>
        <w:t>l’Homme :</w:t>
      </w:r>
      <w:proofErr w:type="gramEnd"/>
      <w:r w:rsidRPr="00EB360D">
        <w:rPr>
          <w:rFonts w:ascii="Comic Sans MS" w:eastAsia="Times New Roman" w:hAnsi="Comic Sans MS" w:cs="Times New Roman"/>
          <w:sz w:val="24"/>
          <w:szCs w:val="24"/>
          <w:lang w:val="fr-FR"/>
        </w:rPr>
        <w:t xml:space="preserve"> Art. 8, même portée que le précédent.</w:t>
      </w:r>
      <w:r w:rsidRPr="00EB360D">
        <w:rPr>
          <w:rFonts w:ascii="Times New Roman" w:eastAsia="Times New Roman" w:hAnsi="Times New Roman" w:cs="Times New Roman"/>
          <w:sz w:val="24"/>
          <w:szCs w:val="24"/>
          <w:lang w:val="fr-FR"/>
        </w:rPr>
        <w:t xml:space="preserve"> </w:t>
      </w:r>
    </w:p>
    <w:p w:rsidR="00EB360D" w:rsidRDefault="00E563AA">
      <w:pPr>
        <w:rPr>
          <w:b/>
          <w:lang w:val="fr-FR"/>
        </w:rPr>
      </w:pPr>
      <w:r>
        <w:rPr>
          <w:b/>
          <w:noProof/>
        </w:rPr>
        <w:lastRenderedPageBreak/>
        <w:drawing>
          <wp:inline distT="0" distB="0" distL="0" distR="0">
            <wp:extent cx="5943600" cy="22688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468.tmp"/>
                    <pic:cNvPicPr/>
                  </pic:nvPicPr>
                  <pic:blipFill>
                    <a:blip r:embed="rId7">
                      <a:extLst>
                        <a:ext uri="{28A0092B-C50C-407E-A947-70E740481C1C}">
                          <a14:useLocalDpi xmlns:a14="http://schemas.microsoft.com/office/drawing/2010/main" val="0"/>
                        </a:ext>
                      </a:extLst>
                    </a:blip>
                    <a:stretch>
                      <a:fillRect/>
                    </a:stretch>
                  </pic:blipFill>
                  <pic:spPr>
                    <a:xfrm>
                      <a:off x="0" y="0"/>
                      <a:ext cx="5943600" cy="2268855"/>
                    </a:xfrm>
                    <a:prstGeom prst="rect">
                      <a:avLst/>
                    </a:prstGeom>
                  </pic:spPr>
                </pic:pic>
              </a:graphicData>
            </a:graphic>
          </wp:inline>
        </w:drawing>
      </w:r>
    </w:p>
    <w:p w:rsidR="00E563AA" w:rsidRDefault="00E563AA">
      <w:pPr>
        <w:rPr>
          <w:b/>
          <w:lang w:val="fr-FR"/>
        </w:rPr>
      </w:pPr>
    </w:p>
    <w:p w:rsidR="00E563AA" w:rsidRPr="00E563AA" w:rsidRDefault="00E563AA" w:rsidP="00E563AA">
      <w:pPr>
        <w:spacing w:before="100" w:beforeAutospacing="1" w:after="100" w:afterAutospacing="1" w:line="240" w:lineRule="auto"/>
        <w:outlineLvl w:val="0"/>
        <w:rPr>
          <w:rFonts w:eastAsia="Times New Roman" w:cs="Times New Roman"/>
          <w:b/>
          <w:bCs/>
          <w:kern w:val="36"/>
          <w:sz w:val="24"/>
          <w:szCs w:val="24"/>
          <w:lang w:val="fr-FR"/>
        </w:rPr>
      </w:pPr>
      <w:r w:rsidRPr="00E563AA">
        <w:rPr>
          <w:rFonts w:eastAsia="Times New Roman" w:cs="Times New Roman"/>
          <w:b/>
          <w:bCs/>
          <w:kern w:val="36"/>
          <w:sz w:val="24"/>
          <w:szCs w:val="24"/>
          <w:lang w:val="fr-FR"/>
        </w:rPr>
        <w:t>Le règlement intérieur ne peut pas interdire la consommation d'alcool dans l'entreprise</w:t>
      </w:r>
    </w:p>
    <w:p w:rsidR="00E563AA" w:rsidRPr="002F7AAE" w:rsidRDefault="00E563AA">
      <w:pPr>
        <w:rPr>
          <w:rStyle w:val="Strong"/>
          <w:sz w:val="24"/>
          <w:szCs w:val="24"/>
          <w:lang w:val="fr-FR"/>
        </w:rPr>
      </w:pPr>
      <w:r w:rsidRPr="00E563AA">
        <w:rPr>
          <w:sz w:val="24"/>
          <w:szCs w:val="24"/>
          <w:lang w:val="fr-FR"/>
        </w:rPr>
        <w:t xml:space="preserve">En l'espèce, le Conseil d'état juge que l'interdiction de consommation d'alcool n'était pas fondée sur des éléments caractérisant l'existence d'une situation particulière de danger ou de risque. La mesure n'était pas proportionnée au but recherché. Une telle interdiction absolue de consommation d'alcool dans l'entreprise ne pouvait donc pas être insérée dans le règlement intérieur. </w:t>
      </w:r>
      <w:r w:rsidRPr="002F7AAE">
        <w:rPr>
          <w:rStyle w:val="Strong"/>
          <w:sz w:val="24"/>
          <w:szCs w:val="24"/>
          <w:lang w:val="fr-FR"/>
        </w:rPr>
        <w:t>CE  12 novembre 2012 n°349365</w:t>
      </w:r>
    </w:p>
    <w:p w:rsidR="00974342" w:rsidRPr="00974342" w:rsidRDefault="00974342">
      <w:pPr>
        <w:rPr>
          <w:rStyle w:val="Strong"/>
          <w:sz w:val="24"/>
          <w:szCs w:val="24"/>
          <w:lang w:val="fr-FR"/>
        </w:rPr>
      </w:pPr>
      <w:r w:rsidRPr="00974342">
        <w:rPr>
          <w:lang w:val="fr-FR"/>
        </w:rPr>
        <w:t xml:space="preserve">Dans un </w:t>
      </w:r>
      <w:hyperlink r:id="rId8" w:history="1">
        <w:r w:rsidRPr="00974342">
          <w:rPr>
            <w:rStyle w:val="Hyperlink"/>
            <w:lang w:val="fr-FR"/>
          </w:rPr>
          <w:t>arrêt du 12 novembre 2012, le Conseil d’Etat</w:t>
        </w:r>
      </w:hyperlink>
      <w:r w:rsidRPr="00974342">
        <w:rPr>
          <w:lang w:val="fr-FR"/>
        </w:rPr>
        <w:t xml:space="preserve"> avait considéré qu’un règlement intérieur ne pouvait pas interdire de manière générale et absolue la consommation d’alcool dans une entreprise, en l’absence de situation particulièrement grave ou de risque :</w:t>
      </w:r>
    </w:p>
    <w:p w:rsidR="00E563AA" w:rsidRDefault="00974342">
      <w:pPr>
        <w:rPr>
          <w:lang w:val="fr-FR"/>
        </w:rPr>
      </w:pPr>
      <w:r w:rsidRPr="00974342">
        <w:rPr>
          <w:lang w:val="fr-FR"/>
        </w:rPr>
        <w:t>L’</w:t>
      </w:r>
      <w:hyperlink r:id="rId9" w:history="1">
        <w:r w:rsidRPr="00974342">
          <w:rPr>
            <w:rStyle w:val="Hyperlink"/>
            <w:lang w:val="fr-FR"/>
          </w:rPr>
          <w:t>article R4228-20 du code du travail</w:t>
        </w:r>
      </w:hyperlink>
      <w:r w:rsidRPr="00974342">
        <w:rPr>
          <w:lang w:val="fr-FR"/>
        </w:rPr>
        <w:t xml:space="preserve"> autorisait jusqu’à présent la consommation de vin, de bière, de cidre, et de poiré sur les lieux de travail.</w:t>
      </w:r>
    </w:p>
    <w:p w:rsidR="00974342" w:rsidRPr="00974342" w:rsidRDefault="00974342" w:rsidP="00974342">
      <w:pPr>
        <w:pStyle w:val="NormalWeb"/>
        <w:rPr>
          <w:lang w:val="fr-FR"/>
        </w:rPr>
      </w:pPr>
      <w:proofErr w:type="gramStart"/>
      <w:r w:rsidRPr="00974342">
        <w:rPr>
          <w:lang w:val="fr-FR"/>
        </w:rPr>
        <w:t>et</w:t>
      </w:r>
      <w:proofErr w:type="gramEnd"/>
      <w:r w:rsidRPr="00974342">
        <w:rPr>
          <w:lang w:val="fr-FR"/>
        </w:rPr>
        <w:t xml:space="preserve"> article est désormais est complété par ce paragraphe :</w:t>
      </w:r>
    </w:p>
    <w:p w:rsidR="00974342" w:rsidRPr="002F7AAE" w:rsidRDefault="00974342" w:rsidP="00974342">
      <w:pPr>
        <w:pStyle w:val="NormalWeb"/>
        <w:rPr>
          <w:lang w:val="fr-FR"/>
        </w:rPr>
      </w:pPr>
      <w:r w:rsidRPr="00974342">
        <w:rPr>
          <w:lang w:val="fr-FR"/>
        </w:rPr>
        <w:t> » Lorsque la</w:t>
      </w:r>
      <w:r w:rsidRPr="00974342">
        <w:rPr>
          <w:rStyle w:val="Strong"/>
          <w:lang w:val="fr-FR"/>
        </w:rPr>
        <w:t xml:space="preserve"> consommation de boissons alcoolisées</w:t>
      </w:r>
      <w:r w:rsidRPr="00974342">
        <w:rPr>
          <w:lang w:val="fr-FR"/>
        </w:rPr>
        <w:t>, dans les conditions fixées au premier alinéa, est susceptible de porter atteinte à la sécurité et la santé physique et mentale des travailleurs, l’employeur, en application de l’article L. 4121-1 du code du travail, prévoit dans le</w:t>
      </w:r>
      <w:hyperlink r:id="rId10" w:tgtFrame="_blank" w:history="1">
        <w:r w:rsidRPr="00974342">
          <w:rPr>
            <w:rStyle w:val="Hyperlink"/>
            <w:lang w:val="fr-FR"/>
          </w:rPr>
          <w:t xml:space="preserve"> règlement intérieur</w:t>
        </w:r>
      </w:hyperlink>
      <w:r w:rsidRPr="00974342">
        <w:rPr>
          <w:lang w:val="fr-FR"/>
        </w:rPr>
        <w:t xml:space="preserve"> ou, à défaut, par note de service les mesures permettant de protéger la santé et la sécurité des travailleurs et de prévenir tout risque d’accident.</w:t>
      </w:r>
      <w:r w:rsidRPr="00974342">
        <w:rPr>
          <w:color w:val="FF0000"/>
          <w:lang w:val="fr-FR"/>
        </w:rPr>
        <w:t xml:space="preserve"> Ces mesures, qui peuvent notamment prendre la forme d’une limitation voire d’une interdiction de cette consommation, doivent être proportionnées au but recherché</w:t>
      </w:r>
      <w:r w:rsidRPr="00974342">
        <w:rPr>
          <w:lang w:val="fr-FR"/>
        </w:rPr>
        <w:t xml:space="preserve">. </w:t>
      </w:r>
      <w:r w:rsidRPr="002F7AAE">
        <w:rPr>
          <w:lang w:val="fr-FR"/>
        </w:rPr>
        <w:t>« </w:t>
      </w:r>
    </w:p>
    <w:p w:rsidR="00974342" w:rsidRDefault="00974342">
      <w:pPr>
        <w:rPr>
          <w:lang w:val="fr-FR"/>
        </w:rPr>
      </w:pPr>
    </w:p>
    <w:p w:rsidR="00974342" w:rsidRDefault="00974342">
      <w:pPr>
        <w:rPr>
          <w:lang w:val="fr-FR"/>
        </w:rPr>
      </w:pPr>
    </w:p>
    <w:p w:rsidR="00974342" w:rsidRDefault="00974342">
      <w:pPr>
        <w:rPr>
          <w:lang w:val="fr-FR"/>
        </w:rPr>
      </w:pPr>
    </w:p>
    <w:p w:rsidR="00974342" w:rsidRPr="00974342" w:rsidRDefault="00974342" w:rsidP="00974342">
      <w:pPr>
        <w:pStyle w:val="NormalWeb"/>
        <w:rPr>
          <w:lang w:val="fr-FR"/>
        </w:rPr>
      </w:pPr>
      <w:r w:rsidRPr="00974342">
        <w:rPr>
          <w:lang w:val="fr-FR"/>
        </w:rPr>
        <w:lastRenderedPageBreak/>
        <w:t> Les dispositions du règlement intérieur d’une entreprise prévoyant que la consommation de boissons alcoolisées est interdite y compris dans les cafeterias, au moment des repas et pendant toute autre manifestation organisée en dehors des repas, faute d’être fondées sur des éléments caractérisant l’existence d’une situation particulière de danger ou de risque, excèdent, par leur caractère général et absolu, les sujétions que l’employeur peut légalement imposer.</w:t>
      </w:r>
      <w:r w:rsidRPr="00974342">
        <w:rPr>
          <w:lang w:val="fr-FR"/>
        </w:rPr>
        <w:br/>
        <w:t>66-03-01 Les dispositions du règlement intérieur d’une entreprise prévoyant que la consommation de boissons alcoolisées est interdite y compris dans les cafeterias, au moment des repas et pendant toute autre manifestation organisée en dehors des repas, faute d’être fondées sur des éléments caractérisant l’existence d’une situation particulière de danger ou de risque, excèdent, par leur caractère général et absolu, les sujétions que l’employeur peut légalement imposer. »</w:t>
      </w:r>
    </w:p>
    <w:p w:rsidR="00974342" w:rsidRPr="00974342" w:rsidRDefault="00974342" w:rsidP="00974342">
      <w:pPr>
        <w:pStyle w:val="NormalWeb"/>
        <w:rPr>
          <w:lang w:val="fr-FR"/>
        </w:rPr>
      </w:pPr>
      <w:r w:rsidRPr="00974342">
        <w:rPr>
          <w:lang w:val="fr-FR"/>
        </w:rPr>
        <w:t>L</w:t>
      </w:r>
      <w:hyperlink r:id="rId11" w:history="1">
        <w:r w:rsidRPr="00974342">
          <w:rPr>
            <w:rStyle w:val="Hyperlink"/>
            <w:lang w:val="fr-FR"/>
          </w:rPr>
          <w:t>e décret  du 3 juillet 2014</w:t>
        </w:r>
      </w:hyperlink>
      <w:r w:rsidRPr="00974342">
        <w:rPr>
          <w:lang w:val="fr-FR"/>
        </w:rPr>
        <w:t xml:space="preserve"> </w:t>
      </w:r>
      <w:proofErr w:type="gramStart"/>
      <w:r w:rsidRPr="00974342">
        <w:rPr>
          <w:lang w:val="fr-FR"/>
        </w:rPr>
        <w:t>justifie</w:t>
      </w:r>
      <w:proofErr w:type="gramEnd"/>
      <w:r w:rsidRPr="00974342">
        <w:rPr>
          <w:lang w:val="fr-FR"/>
        </w:rPr>
        <w:t xml:space="preserve"> ainsi cette nouvelle possibilité offerte aux employeurs :</w:t>
      </w:r>
    </w:p>
    <w:p w:rsidR="00974342" w:rsidRPr="00974342" w:rsidRDefault="00974342" w:rsidP="00974342">
      <w:pPr>
        <w:pStyle w:val="NormalWeb"/>
        <w:rPr>
          <w:lang w:val="fr-FR"/>
        </w:rPr>
      </w:pPr>
      <w:r w:rsidRPr="00974342">
        <w:rPr>
          <w:lang w:val="fr-FR"/>
        </w:rPr>
        <w:t>« Dans un contexte où, d’une part,</w:t>
      </w:r>
      <w:r w:rsidRPr="00974342">
        <w:rPr>
          <w:rStyle w:val="Strong"/>
          <w:lang w:val="fr-FR"/>
        </w:rPr>
        <w:t xml:space="preserve"> l’alcool est la substance psychoactive la plus consommée</w:t>
      </w:r>
      <w:r w:rsidRPr="00974342">
        <w:rPr>
          <w:lang w:val="fr-FR"/>
        </w:rPr>
        <w:t xml:space="preserve"> et les consommations ponctuelles importantes ainsi que les</w:t>
      </w:r>
      <w:r w:rsidRPr="00974342">
        <w:rPr>
          <w:rStyle w:val="Strong"/>
          <w:lang w:val="fr-FR"/>
        </w:rPr>
        <w:t xml:space="preserve"> ivresses déclarées en augmentation</w:t>
      </w:r>
      <w:r w:rsidRPr="00974342">
        <w:rPr>
          <w:lang w:val="fr-FR"/>
        </w:rPr>
        <w:t xml:space="preserve"> parmi les actifs, et où, d’autre part, la </w:t>
      </w:r>
      <w:r w:rsidRPr="00974342">
        <w:rPr>
          <w:rStyle w:val="Strong"/>
          <w:lang w:val="fr-FR"/>
        </w:rPr>
        <w:t>responsabilité civile et pénale des employeurs</w:t>
      </w:r>
      <w:r w:rsidRPr="00974342">
        <w:rPr>
          <w:lang w:val="fr-FR"/>
        </w:rPr>
        <w:t xml:space="preserve"> est particulièrement engagée, le présent décret vise à donner aux employeurs les moyens d</w:t>
      </w:r>
      <w:r w:rsidRPr="00974342">
        <w:rPr>
          <w:rStyle w:val="Strong"/>
          <w:lang w:val="fr-FR"/>
        </w:rPr>
        <w:t>‘assumer l’obligation de sécurité de résultat</w:t>
      </w:r>
      <w:r w:rsidRPr="00974342">
        <w:rPr>
          <w:lang w:val="fr-FR"/>
        </w:rPr>
        <w:t xml:space="preserve"> qui leur incombe en matière de préservation de la santé et de la sécurité des travailleurs, et de prévenir tout risque d’accident. Il autorise ainsi les clauses des règlements intérieurs limitant ou interdisant la consommation de toute boisson alcoolisée dans l’entreprise édictées dans un objectif de prévention, y compris le vin, la bière, le cidre et le poiré, lorsqu’elles sont proportionnées au but recherché ».</w:t>
      </w:r>
    </w:p>
    <w:p w:rsidR="00974342" w:rsidRPr="00974342" w:rsidRDefault="00974342">
      <w:pPr>
        <w:rPr>
          <w:rStyle w:val="Strong"/>
          <w:sz w:val="24"/>
          <w:szCs w:val="24"/>
          <w:lang w:val="fr-FR"/>
        </w:rPr>
      </w:pPr>
    </w:p>
    <w:p w:rsidR="00974342" w:rsidRDefault="00974342">
      <w:pPr>
        <w:rPr>
          <w:rStyle w:val="Strong"/>
          <w:sz w:val="24"/>
          <w:szCs w:val="24"/>
          <w:lang w:val="fr-FR"/>
        </w:rPr>
      </w:pPr>
    </w:p>
    <w:p w:rsidR="00974342" w:rsidRPr="00974342" w:rsidRDefault="00974342">
      <w:pPr>
        <w:rPr>
          <w:rStyle w:val="Strong"/>
          <w:sz w:val="24"/>
          <w:szCs w:val="24"/>
          <w:lang w:val="fr-FR"/>
        </w:rPr>
      </w:pPr>
    </w:p>
    <w:p w:rsidR="00E563AA" w:rsidRPr="00E563AA" w:rsidRDefault="00464065" w:rsidP="00E563AA">
      <w:pPr>
        <w:pStyle w:val="Heading1"/>
        <w:rPr>
          <w:sz w:val="24"/>
          <w:szCs w:val="24"/>
          <w:lang w:val="fr-FR"/>
        </w:rPr>
      </w:pPr>
      <w:hyperlink r:id="rId12" w:history="1">
        <w:r w:rsidR="00E563AA" w:rsidRPr="00E563AA">
          <w:rPr>
            <w:rStyle w:val="Hyperlink"/>
            <w:color w:val="auto"/>
            <w:sz w:val="24"/>
            <w:szCs w:val="24"/>
            <w:lang w:val="fr-FR"/>
          </w:rPr>
          <w:t xml:space="preserve">Quand le CE n'a pas été consulté, le règlement intérieur est sans valeur </w:t>
        </w:r>
      </w:hyperlink>
    </w:p>
    <w:p w:rsidR="00E563AA" w:rsidRDefault="00E563AA" w:rsidP="00E563AA">
      <w:pPr>
        <w:pStyle w:val="chapo"/>
        <w:rPr>
          <w:rStyle w:val="Strong"/>
          <w:lang w:val="fr-FR"/>
        </w:rPr>
      </w:pPr>
      <w:r w:rsidRPr="00E563AA">
        <w:rPr>
          <w:rStyle w:val="Strong"/>
          <w:lang w:val="fr-FR"/>
        </w:rPr>
        <w:t>Lorsque l’employeur n’est pas en mesure de prouver que le CE a bien été consulté, il ne peut se prévaloir n i du règlement intérieur ni des notes de service qui le complètent</w:t>
      </w:r>
    </w:p>
    <w:p w:rsidR="00E563AA" w:rsidRDefault="00E563AA" w:rsidP="00E563AA">
      <w:pPr>
        <w:pStyle w:val="chapo"/>
        <w:rPr>
          <w:rStyle w:val="Strong"/>
          <w:lang w:val="fr-FR"/>
        </w:rPr>
      </w:pPr>
    </w:p>
    <w:p w:rsidR="00E563AA" w:rsidRDefault="00E563AA" w:rsidP="00E563AA">
      <w:pPr>
        <w:pStyle w:val="chapo"/>
        <w:rPr>
          <w:lang w:val="fr-FR"/>
        </w:rPr>
      </w:pPr>
      <w:proofErr w:type="gramStart"/>
      <w:r w:rsidRPr="00E563AA">
        <w:rPr>
          <w:lang w:val="fr-FR"/>
        </w:rPr>
        <w:t>ou</w:t>
      </w:r>
      <w:proofErr w:type="gramEnd"/>
      <w:r w:rsidRPr="00E563AA">
        <w:rPr>
          <w:lang w:val="fr-FR"/>
        </w:rPr>
        <w:t xml:space="preserve"> encore qui permettrait à l’employeur d’ouvrir le courrier adressé personnellement au salarié contrairement à l’article L. 226-15 du Code pénal.</w:t>
      </w:r>
    </w:p>
    <w:p w:rsidR="0015655F" w:rsidRDefault="0015655F" w:rsidP="00E563AA">
      <w:pPr>
        <w:pStyle w:val="chapo"/>
        <w:rPr>
          <w:lang w:val="fr-FR"/>
        </w:rPr>
      </w:pPr>
      <w:r w:rsidRPr="0015655F">
        <w:rPr>
          <w:lang w:val="fr-FR"/>
        </w:rPr>
        <w:t>Lorsque cette procédure n’a pas été respectée, la Cour de cassation est claire : l’inobservation du règlement intérieur ne peut pas être reprochée aux salariés. Elle l’avait déjà dit, il y a longtemps (</w:t>
      </w:r>
      <w:proofErr w:type="spellStart"/>
      <w:r w:rsidRPr="0015655F">
        <w:rPr>
          <w:lang w:val="fr-FR"/>
        </w:rPr>
        <w:t>Cass</w:t>
      </w:r>
      <w:proofErr w:type="spellEnd"/>
      <w:r w:rsidRPr="0015655F">
        <w:rPr>
          <w:lang w:val="fr-FR"/>
        </w:rPr>
        <w:t xml:space="preserve">. </w:t>
      </w:r>
      <w:proofErr w:type="gramStart"/>
      <w:r w:rsidRPr="0015655F">
        <w:rPr>
          <w:lang w:val="fr-FR"/>
        </w:rPr>
        <w:t>soc.,</w:t>
      </w:r>
      <w:proofErr w:type="gramEnd"/>
      <w:r w:rsidRPr="0015655F">
        <w:rPr>
          <w:lang w:val="fr-FR"/>
        </w:rPr>
        <w:t xml:space="preserve"> 4 juin 1969, no 68-40.377), elle le redit aujourd’hui. Quarante-trois ans après, une piqûre de rappel n’est pas inutile.</w:t>
      </w:r>
    </w:p>
    <w:p w:rsidR="0015655F" w:rsidRDefault="0015655F" w:rsidP="00E563AA">
      <w:pPr>
        <w:pStyle w:val="chapo"/>
        <w:rPr>
          <w:lang w:val="fr-FR"/>
        </w:rPr>
      </w:pPr>
      <w:r w:rsidRPr="0015655F">
        <w:rPr>
          <w:rStyle w:val="Strong"/>
          <w:lang w:val="fr-FR"/>
        </w:rPr>
        <w:lastRenderedPageBreak/>
        <w:t>C’EST À L’EMPLOYEUR DE PROUVER QUE LE NÉCESSAIRE A ÉTÉ FAIT</w:t>
      </w:r>
      <w:r w:rsidRPr="0015655F">
        <w:rPr>
          <w:lang w:val="fr-FR"/>
        </w:rPr>
        <w:br/>
      </w:r>
      <w:r w:rsidRPr="0015655F">
        <w:rPr>
          <w:lang w:val="fr-FR"/>
        </w:rPr>
        <w:br/>
        <w:t>Deuxième apport important de l’arrêt : face à une contestation, c’est à l’employeur de prouver qu’il a accompli les diligences imposées par la loi.</w:t>
      </w:r>
      <w:r w:rsidRPr="0015655F">
        <w:rPr>
          <w:lang w:val="fr-FR"/>
        </w:rPr>
        <w:br/>
        <w:t>La salariée prétendait, en effet, que le comité d’entreprise n’avait été consulté ni pour le règlement intérieur initial ni pour la note de service qu’on lui reprochait de ne pas avoir observée.</w:t>
      </w:r>
      <w:r w:rsidRPr="0015655F">
        <w:rPr>
          <w:lang w:val="fr-FR"/>
        </w:rPr>
        <w:br/>
      </w:r>
      <w:r w:rsidRPr="0015655F">
        <w:rPr>
          <w:lang w:val="fr-FR"/>
        </w:rPr>
        <w:br/>
        <w:t>Or l’employeur se révélait incapable de fournir le procès-verbal de la réunion attestant de la consultation. Il n’était même pas capable d’en préciser la date. Tout ce qu’il pouvait produire, c’était le texte même du règlement intérieur comportant la mention « règlement arrêté après avis des instances représentatives du personnel et après communication à l’inspecteur du travail ». Rien ne permettait de corroborer ni de dater les faits contenus dans cette affirmation.</w:t>
      </w:r>
      <w:r w:rsidRPr="0015655F">
        <w:rPr>
          <w:lang w:val="fr-FR"/>
        </w:rPr>
        <w:br/>
      </w:r>
      <w:r w:rsidRPr="0015655F">
        <w:rPr>
          <w:lang w:val="fr-FR"/>
        </w:rPr>
        <w:br/>
        <w:t>Là encore, l’employeur avait tenté de faire juger que cette mention laissait présumer l’accomplissement de la procédure et que c’était à la salariée de démontrer le contraire.</w:t>
      </w:r>
      <w:r w:rsidRPr="0015655F">
        <w:rPr>
          <w:lang w:val="fr-FR"/>
        </w:rPr>
        <w:br/>
      </w:r>
      <w:r w:rsidRPr="0015655F">
        <w:rPr>
          <w:lang w:val="fr-FR"/>
        </w:rPr>
        <w:br/>
        <w:t>Mais la Cour de cassation récuse cette argumentation. L’obligation est à la charge de l’employeur, c’est à lui de prouver qu’il s’y est plié.</w:t>
      </w:r>
      <w:r w:rsidRPr="0015655F">
        <w:rPr>
          <w:lang w:val="fr-FR"/>
        </w:rPr>
        <w:br/>
        <w:t>Il peut le faire par tout moyen : la production du procès-verbal en est un mais des témoignages des élus ou autres membres du comité d’entreprise de l’époque auraient certainement aussi convenu. Là, très clairement, il n’avait rien d’autre à proposer que la phrase du règlement intérieur, écrite par... lui, l’employeur.</w:t>
      </w:r>
      <w:r>
        <w:rPr>
          <w:noProof/>
        </w:rPr>
        <w:drawing>
          <wp:inline distT="0" distB="0" distL="0" distR="0">
            <wp:extent cx="5943600" cy="37769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43915.tmp"/>
                    <pic:cNvPicPr/>
                  </pic:nvPicPr>
                  <pic:blipFill>
                    <a:blip r:embed="rId13">
                      <a:extLst>
                        <a:ext uri="{28A0092B-C50C-407E-A947-70E740481C1C}">
                          <a14:useLocalDpi xmlns:a14="http://schemas.microsoft.com/office/drawing/2010/main" val="0"/>
                        </a:ext>
                      </a:extLst>
                    </a:blip>
                    <a:stretch>
                      <a:fillRect/>
                    </a:stretch>
                  </pic:blipFill>
                  <pic:spPr>
                    <a:xfrm>
                      <a:off x="0" y="0"/>
                      <a:ext cx="5943600" cy="3776980"/>
                    </a:xfrm>
                    <a:prstGeom prst="rect">
                      <a:avLst/>
                    </a:prstGeom>
                  </pic:spPr>
                </pic:pic>
              </a:graphicData>
            </a:graphic>
          </wp:inline>
        </w:drawing>
      </w:r>
    </w:p>
    <w:p w:rsidR="00E378CF" w:rsidRDefault="00E378CF" w:rsidP="00E563AA">
      <w:pPr>
        <w:pStyle w:val="chapo"/>
        <w:rPr>
          <w:lang w:val="fr-FR"/>
        </w:rPr>
      </w:pPr>
    </w:p>
    <w:p w:rsidR="00E378CF" w:rsidRDefault="00E378CF" w:rsidP="00E563AA">
      <w:pPr>
        <w:pStyle w:val="chapo"/>
        <w:rPr>
          <w:lang w:val="fr-FR"/>
        </w:rPr>
      </w:pPr>
    </w:p>
    <w:p w:rsidR="00E378CF" w:rsidRDefault="00E378CF" w:rsidP="00E563AA">
      <w:pPr>
        <w:pStyle w:val="chapo"/>
        <w:rPr>
          <w:rFonts w:ascii="Arial" w:hAnsi="Arial" w:cs="Arial"/>
          <w:sz w:val="20"/>
          <w:szCs w:val="20"/>
          <w:lang w:val="fr-FR"/>
        </w:rPr>
      </w:pPr>
      <w:r w:rsidRPr="00E378CF">
        <w:rPr>
          <w:rFonts w:ascii="Arial" w:hAnsi="Arial" w:cs="Arial"/>
          <w:sz w:val="20"/>
          <w:szCs w:val="20"/>
          <w:lang w:val="fr-FR"/>
        </w:rPr>
        <w:t xml:space="preserve">La circulaire DRT n°5/83 du 15 mars 1983 a apporté des précisions sur le fond des clauses pouvant être incluses ou non dans le règlement </w:t>
      </w:r>
      <w:proofErr w:type="spellStart"/>
      <w:r w:rsidRPr="00E378CF">
        <w:rPr>
          <w:rFonts w:ascii="Arial" w:hAnsi="Arial" w:cs="Arial"/>
          <w:sz w:val="20"/>
          <w:szCs w:val="20"/>
          <w:lang w:val="fr-FR"/>
        </w:rPr>
        <w:t>inté</w:t>
      </w:r>
      <w:proofErr w:type="spellEnd"/>
    </w:p>
    <w:p w:rsidR="00E378CF" w:rsidRDefault="00E378CF" w:rsidP="00E563AA">
      <w:pPr>
        <w:pStyle w:val="chapo"/>
        <w:rPr>
          <w:rFonts w:ascii="Arial" w:hAnsi="Arial" w:cs="Arial"/>
          <w:sz w:val="20"/>
          <w:szCs w:val="20"/>
          <w:lang w:val="fr-FR"/>
        </w:rPr>
      </w:pPr>
    </w:p>
    <w:p w:rsidR="00E378CF" w:rsidRPr="002F7AAE" w:rsidRDefault="00E378CF" w:rsidP="00E563AA">
      <w:pPr>
        <w:pStyle w:val="chapo"/>
        <w:rPr>
          <w:sz w:val="18"/>
          <w:szCs w:val="18"/>
          <w:lang w:val="fr-FR"/>
        </w:rPr>
      </w:pPr>
      <w:r w:rsidRPr="00E378CF">
        <w:rPr>
          <w:lang w:val="fr-FR"/>
        </w:rPr>
        <w:t xml:space="preserve">Le contenu du règlement intérieur doit impérativement se limiter aux mesures d'application de la réglementation en matière d'hygiène et de sécurité ainsi qu'aux règles générales et permanentes relatives à la discipline </w:t>
      </w:r>
      <w:r w:rsidRPr="00E378CF">
        <w:rPr>
          <w:sz w:val="18"/>
          <w:szCs w:val="18"/>
          <w:lang w:val="fr-FR"/>
        </w:rPr>
        <w:t xml:space="preserve">(C. </w:t>
      </w:r>
      <w:proofErr w:type="spellStart"/>
      <w:proofErr w:type="gramStart"/>
      <w:r w:rsidRPr="00E378CF">
        <w:rPr>
          <w:sz w:val="18"/>
          <w:szCs w:val="18"/>
          <w:lang w:val="fr-FR"/>
        </w:rPr>
        <w:t>trav</w:t>
      </w:r>
      <w:proofErr w:type="spellEnd"/>
      <w:r w:rsidRPr="00E378CF">
        <w:rPr>
          <w:sz w:val="18"/>
          <w:szCs w:val="18"/>
          <w:lang w:val="fr-FR"/>
        </w:rPr>
        <w:t>.,</w:t>
      </w:r>
      <w:proofErr w:type="gramEnd"/>
      <w:r w:rsidRPr="00E378CF">
        <w:rPr>
          <w:sz w:val="18"/>
          <w:szCs w:val="18"/>
          <w:lang w:val="fr-FR"/>
        </w:rPr>
        <w:t xml:space="preserve"> art. </w:t>
      </w:r>
      <w:r w:rsidRPr="002F7AAE">
        <w:rPr>
          <w:sz w:val="18"/>
          <w:szCs w:val="18"/>
          <w:lang w:val="fr-FR"/>
        </w:rPr>
        <w:t>L. 122-34, voir n°40).</w:t>
      </w:r>
    </w:p>
    <w:p w:rsidR="00E378CF" w:rsidRPr="002F7AAE" w:rsidRDefault="00E378CF" w:rsidP="00E563AA">
      <w:pPr>
        <w:pStyle w:val="chapo"/>
        <w:rPr>
          <w:sz w:val="18"/>
          <w:szCs w:val="18"/>
          <w:lang w:val="fr-FR"/>
        </w:rPr>
      </w:pPr>
    </w:p>
    <w:p w:rsidR="00E378CF" w:rsidRPr="00E378CF" w:rsidRDefault="00E378CF" w:rsidP="00E378CF">
      <w:pPr>
        <w:spacing w:after="0" w:line="240" w:lineRule="auto"/>
        <w:rPr>
          <w:rFonts w:ascii="Times New Roman" w:eastAsia="Times New Roman" w:hAnsi="Times New Roman" w:cs="Times New Roman"/>
          <w:sz w:val="24"/>
          <w:szCs w:val="24"/>
        </w:rPr>
      </w:pPr>
      <w:r w:rsidRPr="00E378CF">
        <w:rPr>
          <w:rFonts w:ascii="Times New Roman" w:eastAsia="Times New Roman" w:hAnsi="Times New Roman" w:cs="Times New Roman"/>
          <w:sz w:val="24"/>
          <w:szCs w:val="24"/>
          <w:lang w:val="fr-FR"/>
        </w:rPr>
        <w:t>Un affichage sur les lieux de travail dans un endroit accessible est obligatoire. Ces règles s'appliquent également aux notes de services entrant dans le champ du règlement intérieur (art. L.1321-5 du code du travail), aux modifications ou retrait de clauses. </w:t>
      </w:r>
      <w:r w:rsidRPr="00E378CF">
        <w:rPr>
          <w:rFonts w:ascii="Times New Roman" w:eastAsia="Times New Roman" w:hAnsi="Times New Roman" w:cs="Times New Roman"/>
          <w:sz w:val="24"/>
          <w:szCs w:val="24"/>
          <w:lang w:val="fr-FR"/>
        </w:rPr>
        <w:br/>
      </w:r>
      <w:r w:rsidRPr="00E378CF">
        <w:rPr>
          <w:rFonts w:ascii="Times New Roman" w:eastAsia="Times New Roman" w:hAnsi="Times New Roman" w:cs="Times New Roman"/>
          <w:sz w:val="24"/>
          <w:szCs w:val="24"/>
        </w:rPr>
        <w:t>Read more at http://lentreprise.lexpress.fr/rh-management/droit-travail/reglement-interieur_1689080.html#q2u0QeFEWM2AoX68.99</w:t>
      </w:r>
    </w:p>
    <w:p w:rsidR="00E378CF" w:rsidRDefault="00E378CF" w:rsidP="00E563AA">
      <w:pPr>
        <w:pStyle w:val="chapo"/>
      </w:pPr>
    </w:p>
    <w:p w:rsidR="00E378CF" w:rsidRDefault="00E378CF" w:rsidP="00E563AA">
      <w:pPr>
        <w:pStyle w:val="chapo"/>
      </w:pPr>
    </w:p>
    <w:p w:rsidR="00E378CF" w:rsidRPr="00E378CF" w:rsidRDefault="00E378CF" w:rsidP="00E378CF">
      <w:pPr>
        <w:spacing w:before="100" w:beforeAutospacing="1" w:after="100" w:afterAutospacing="1" w:line="240" w:lineRule="auto"/>
        <w:rPr>
          <w:rFonts w:ascii="Times New Roman" w:eastAsia="Times New Roman" w:hAnsi="Times New Roman" w:cs="Times New Roman"/>
          <w:sz w:val="24"/>
          <w:szCs w:val="24"/>
          <w:lang w:val="fr-FR"/>
        </w:rPr>
      </w:pPr>
      <w:r w:rsidRPr="00E378CF">
        <w:rPr>
          <w:rFonts w:ascii="Times New Roman" w:eastAsia="Times New Roman" w:hAnsi="Times New Roman" w:cs="Times New Roman"/>
          <w:b/>
          <w:bCs/>
          <w:sz w:val="24"/>
          <w:szCs w:val="24"/>
          <w:lang w:val="fr-FR"/>
        </w:rPr>
        <w:t xml:space="preserve">Le contenu du règlement intérieur est strictement limité aux domaines suivants (articles </w:t>
      </w:r>
      <w:hyperlink r:id="rId14" w:tgtFrame="_blank" w:history="1">
        <w:r w:rsidRPr="00E378CF">
          <w:rPr>
            <w:rFonts w:ascii="Times New Roman" w:eastAsia="Times New Roman" w:hAnsi="Times New Roman" w:cs="Times New Roman"/>
            <w:color w:val="0000FF"/>
            <w:sz w:val="24"/>
            <w:szCs w:val="24"/>
            <w:u w:val="single"/>
            <w:lang w:val="fr-FR"/>
          </w:rPr>
          <w:t>L1321-1</w:t>
        </w:r>
      </w:hyperlink>
      <w:r w:rsidRPr="00E378CF">
        <w:rPr>
          <w:rFonts w:ascii="Times New Roman" w:eastAsia="Times New Roman" w:hAnsi="Times New Roman" w:cs="Times New Roman"/>
          <w:sz w:val="24"/>
          <w:szCs w:val="24"/>
          <w:lang w:val="fr-FR"/>
        </w:rPr>
        <w:t xml:space="preserve"> , </w:t>
      </w:r>
      <w:hyperlink r:id="rId15" w:history="1">
        <w:r w:rsidRPr="00E378CF">
          <w:rPr>
            <w:rFonts w:ascii="Times New Roman" w:eastAsia="Times New Roman" w:hAnsi="Times New Roman" w:cs="Times New Roman"/>
            <w:color w:val="0000FF"/>
            <w:sz w:val="24"/>
            <w:szCs w:val="24"/>
            <w:u w:val="single"/>
            <w:lang w:val="fr-FR"/>
          </w:rPr>
          <w:t>2</w:t>
        </w:r>
      </w:hyperlink>
      <w:r w:rsidRPr="00E378CF">
        <w:rPr>
          <w:rFonts w:ascii="Times New Roman" w:eastAsia="Times New Roman" w:hAnsi="Times New Roman" w:cs="Times New Roman"/>
          <w:sz w:val="24"/>
          <w:szCs w:val="24"/>
          <w:lang w:val="fr-FR"/>
        </w:rPr>
        <w:t xml:space="preserve"> du code du travail</w:t>
      </w:r>
      <w:r w:rsidRPr="00E378CF">
        <w:rPr>
          <w:rFonts w:ascii="Times New Roman" w:eastAsia="Times New Roman" w:hAnsi="Times New Roman" w:cs="Times New Roman"/>
          <w:b/>
          <w:bCs/>
          <w:sz w:val="24"/>
          <w:szCs w:val="24"/>
          <w:lang w:val="fr-FR"/>
        </w:rPr>
        <w:t>)</w:t>
      </w:r>
      <w:r w:rsidRPr="00E378CF">
        <w:rPr>
          <w:rFonts w:ascii="Times New Roman" w:eastAsia="Times New Roman" w:hAnsi="Times New Roman" w:cs="Times New Roman"/>
          <w:sz w:val="24"/>
          <w:szCs w:val="24"/>
          <w:lang w:val="fr-FR"/>
        </w:rPr>
        <w:t xml:space="preserve"> :</w:t>
      </w:r>
    </w:p>
    <w:p w:rsidR="00E378CF" w:rsidRPr="00E378CF" w:rsidRDefault="00E378CF" w:rsidP="00E378CF">
      <w:pPr>
        <w:numPr>
          <w:ilvl w:val="0"/>
          <w:numId w:val="1"/>
        </w:numPr>
        <w:spacing w:before="100" w:beforeAutospacing="1" w:after="100" w:afterAutospacing="1" w:line="240" w:lineRule="auto"/>
        <w:rPr>
          <w:rFonts w:ascii="Times New Roman" w:eastAsia="Times New Roman" w:hAnsi="Times New Roman" w:cs="Times New Roman"/>
          <w:sz w:val="24"/>
          <w:szCs w:val="24"/>
          <w:lang w:val="fr-FR"/>
        </w:rPr>
      </w:pPr>
      <w:r w:rsidRPr="00E378CF">
        <w:rPr>
          <w:rFonts w:ascii="Times New Roman" w:eastAsia="Times New Roman" w:hAnsi="Times New Roman" w:cs="Times New Roman"/>
          <w:b/>
          <w:bCs/>
          <w:sz w:val="24"/>
          <w:szCs w:val="24"/>
          <w:lang w:val="fr-FR"/>
        </w:rPr>
        <w:t>- les mesures d’application de la réglementation en matière d’hygiène et de sécurité</w:t>
      </w:r>
      <w:r w:rsidRPr="00E378CF">
        <w:rPr>
          <w:rFonts w:ascii="Times New Roman" w:eastAsia="Times New Roman" w:hAnsi="Times New Roman" w:cs="Times New Roman"/>
          <w:sz w:val="24"/>
          <w:szCs w:val="24"/>
          <w:lang w:val="fr-FR"/>
        </w:rPr>
        <w:t xml:space="preserve"> dans l’entreprise ou l’établissement ;</w:t>
      </w:r>
    </w:p>
    <w:p w:rsidR="00E378CF" w:rsidRPr="00E378CF" w:rsidRDefault="00E378CF" w:rsidP="00E378CF">
      <w:pPr>
        <w:numPr>
          <w:ilvl w:val="0"/>
          <w:numId w:val="1"/>
        </w:numPr>
        <w:spacing w:before="100" w:beforeAutospacing="1" w:after="100" w:afterAutospacing="1" w:line="240" w:lineRule="auto"/>
        <w:rPr>
          <w:rFonts w:ascii="Times New Roman" w:eastAsia="Times New Roman" w:hAnsi="Times New Roman" w:cs="Times New Roman"/>
          <w:sz w:val="24"/>
          <w:szCs w:val="24"/>
          <w:lang w:val="fr-FR"/>
        </w:rPr>
      </w:pPr>
      <w:r w:rsidRPr="00E378CF">
        <w:rPr>
          <w:rFonts w:ascii="Times New Roman" w:eastAsia="Times New Roman" w:hAnsi="Times New Roman" w:cs="Times New Roman"/>
          <w:sz w:val="24"/>
          <w:szCs w:val="24"/>
          <w:lang w:val="fr-FR"/>
        </w:rPr>
        <w:t xml:space="preserve">- les conditions dans lesquelles les salariés peuvent être appelés à participer, à la demande de l’employeur, au </w:t>
      </w:r>
      <w:r w:rsidRPr="00E378CF">
        <w:rPr>
          <w:rFonts w:ascii="Times New Roman" w:eastAsia="Times New Roman" w:hAnsi="Times New Roman" w:cs="Times New Roman"/>
          <w:b/>
          <w:bCs/>
          <w:sz w:val="24"/>
          <w:szCs w:val="24"/>
          <w:lang w:val="fr-FR"/>
        </w:rPr>
        <w:t>rétablissement de conditions de travail protectrices de la sécurité et de la santé des salariés</w:t>
      </w:r>
      <w:r w:rsidRPr="00E378CF">
        <w:rPr>
          <w:rFonts w:ascii="Times New Roman" w:eastAsia="Times New Roman" w:hAnsi="Times New Roman" w:cs="Times New Roman"/>
          <w:sz w:val="24"/>
          <w:szCs w:val="24"/>
          <w:lang w:val="fr-FR"/>
        </w:rPr>
        <w:t xml:space="preserve"> dès lors qu’elles apparaissent compromises ;</w:t>
      </w:r>
    </w:p>
    <w:p w:rsidR="00E378CF" w:rsidRPr="00E378CF" w:rsidRDefault="00E378CF" w:rsidP="00E378CF">
      <w:pPr>
        <w:numPr>
          <w:ilvl w:val="0"/>
          <w:numId w:val="1"/>
        </w:numPr>
        <w:spacing w:before="100" w:beforeAutospacing="1" w:after="100" w:afterAutospacing="1" w:line="240" w:lineRule="auto"/>
        <w:rPr>
          <w:rFonts w:ascii="Times New Roman" w:eastAsia="Times New Roman" w:hAnsi="Times New Roman" w:cs="Times New Roman"/>
          <w:sz w:val="24"/>
          <w:szCs w:val="24"/>
          <w:lang w:val="fr-FR"/>
        </w:rPr>
      </w:pPr>
      <w:r w:rsidRPr="00E378CF">
        <w:rPr>
          <w:rFonts w:ascii="Times New Roman" w:eastAsia="Times New Roman" w:hAnsi="Times New Roman" w:cs="Times New Roman"/>
          <w:sz w:val="24"/>
          <w:szCs w:val="24"/>
          <w:lang w:val="fr-FR"/>
        </w:rPr>
        <w:t xml:space="preserve">- </w:t>
      </w:r>
      <w:r w:rsidRPr="00E378CF">
        <w:rPr>
          <w:rFonts w:ascii="Times New Roman" w:eastAsia="Times New Roman" w:hAnsi="Times New Roman" w:cs="Times New Roman"/>
          <w:b/>
          <w:bCs/>
          <w:sz w:val="24"/>
          <w:szCs w:val="24"/>
          <w:lang w:val="fr-FR"/>
        </w:rPr>
        <w:t>les règles générales et permanentes</w:t>
      </w:r>
      <w:r w:rsidRPr="00E378CF">
        <w:rPr>
          <w:rFonts w:ascii="Times New Roman" w:eastAsia="Times New Roman" w:hAnsi="Times New Roman" w:cs="Times New Roman"/>
          <w:sz w:val="24"/>
          <w:szCs w:val="24"/>
          <w:lang w:val="fr-FR"/>
        </w:rPr>
        <w:t xml:space="preserve"> relatives à la discipline et notamment, la nature et l’échelle des sanctions que peut prendre l’employeur;</w:t>
      </w:r>
    </w:p>
    <w:p w:rsidR="00E378CF" w:rsidRPr="00E378CF" w:rsidRDefault="00E378CF" w:rsidP="00E378CF">
      <w:pPr>
        <w:numPr>
          <w:ilvl w:val="0"/>
          <w:numId w:val="1"/>
        </w:numPr>
        <w:spacing w:before="100" w:beforeAutospacing="1" w:after="100" w:afterAutospacing="1" w:line="240" w:lineRule="auto"/>
        <w:rPr>
          <w:rFonts w:ascii="Times New Roman" w:eastAsia="Times New Roman" w:hAnsi="Times New Roman" w:cs="Times New Roman"/>
          <w:sz w:val="24"/>
          <w:szCs w:val="24"/>
          <w:lang w:val="fr-FR"/>
        </w:rPr>
      </w:pPr>
      <w:r w:rsidRPr="00E378CF">
        <w:rPr>
          <w:rFonts w:ascii="Times New Roman" w:eastAsia="Times New Roman" w:hAnsi="Times New Roman" w:cs="Times New Roman"/>
          <w:b/>
          <w:bCs/>
          <w:sz w:val="24"/>
          <w:szCs w:val="24"/>
          <w:lang w:val="fr-FR"/>
        </w:rPr>
        <w:t xml:space="preserve">- les dispositions relatives à l'abus d'autorité en matière sexuelle : </w:t>
      </w:r>
      <w:hyperlink r:id="rId16" w:anchor="LEGIARTI000006900824" w:tgtFrame="_blank" w:history="1">
        <w:r w:rsidRPr="00E378CF">
          <w:rPr>
            <w:rFonts w:ascii="Times New Roman" w:eastAsia="Times New Roman" w:hAnsi="Times New Roman" w:cs="Times New Roman"/>
            <w:b/>
            <w:bCs/>
            <w:color w:val="0000FF"/>
            <w:sz w:val="24"/>
            <w:szCs w:val="24"/>
            <w:u w:val="single"/>
            <w:lang w:val="fr-FR"/>
          </w:rPr>
          <w:t>L1153-1</w:t>
        </w:r>
      </w:hyperlink>
      <w:r w:rsidRPr="00E378CF">
        <w:rPr>
          <w:rFonts w:ascii="Times New Roman" w:eastAsia="Times New Roman" w:hAnsi="Times New Roman" w:cs="Times New Roman"/>
          <w:b/>
          <w:bCs/>
          <w:sz w:val="24"/>
          <w:szCs w:val="24"/>
          <w:lang w:val="fr-FR"/>
        </w:rPr>
        <w:t xml:space="preserve"> , </w:t>
      </w:r>
      <w:hyperlink r:id="rId17" w:tgtFrame="_blank" w:history="1">
        <w:r w:rsidRPr="00E378CF">
          <w:rPr>
            <w:rFonts w:ascii="Times New Roman" w:eastAsia="Times New Roman" w:hAnsi="Times New Roman" w:cs="Times New Roman"/>
            <w:b/>
            <w:bCs/>
            <w:color w:val="0000FF"/>
            <w:sz w:val="24"/>
            <w:szCs w:val="24"/>
            <w:u w:val="single"/>
            <w:lang w:val="fr-FR"/>
          </w:rPr>
          <w:t>2</w:t>
        </w:r>
      </w:hyperlink>
      <w:r w:rsidRPr="00E378CF">
        <w:rPr>
          <w:rFonts w:ascii="Times New Roman" w:eastAsia="Times New Roman" w:hAnsi="Times New Roman" w:cs="Times New Roman"/>
          <w:b/>
          <w:bCs/>
          <w:sz w:val="24"/>
          <w:szCs w:val="24"/>
          <w:lang w:val="fr-FR"/>
        </w:rPr>
        <w:t xml:space="preserve"> , </w:t>
      </w:r>
      <w:hyperlink r:id="rId18" w:tgtFrame="_blank" w:history="1">
        <w:r w:rsidRPr="00E378CF">
          <w:rPr>
            <w:rFonts w:ascii="Times New Roman" w:eastAsia="Times New Roman" w:hAnsi="Times New Roman" w:cs="Times New Roman"/>
            <w:b/>
            <w:bCs/>
            <w:color w:val="0000FF"/>
            <w:sz w:val="24"/>
            <w:szCs w:val="24"/>
            <w:u w:val="single"/>
            <w:lang w:val="fr-FR"/>
          </w:rPr>
          <w:t>3</w:t>
        </w:r>
      </w:hyperlink>
      <w:r w:rsidRPr="00E378CF">
        <w:rPr>
          <w:rFonts w:ascii="Times New Roman" w:eastAsia="Times New Roman" w:hAnsi="Times New Roman" w:cs="Times New Roman"/>
          <w:b/>
          <w:bCs/>
          <w:sz w:val="24"/>
          <w:szCs w:val="24"/>
          <w:lang w:val="fr-FR"/>
        </w:rPr>
        <w:t xml:space="preserve"> , </w:t>
      </w:r>
      <w:hyperlink r:id="rId19" w:tgtFrame="_blank" w:history="1">
        <w:r w:rsidRPr="00E378CF">
          <w:rPr>
            <w:rFonts w:ascii="Times New Roman" w:eastAsia="Times New Roman" w:hAnsi="Times New Roman" w:cs="Times New Roman"/>
            <w:b/>
            <w:bCs/>
            <w:color w:val="0000FF"/>
            <w:sz w:val="24"/>
            <w:szCs w:val="24"/>
            <w:u w:val="single"/>
            <w:lang w:val="fr-FR"/>
          </w:rPr>
          <w:t>4</w:t>
        </w:r>
      </w:hyperlink>
      <w:r w:rsidRPr="00E378CF">
        <w:rPr>
          <w:rFonts w:ascii="Times New Roman" w:eastAsia="Times New Roman" w:hAnsi="Times New Roman" w:cs="Times New Roman"/>
          <w:b/>
          <w:bCs/>
          <w:sz w:val="24"/>
          <w:szCs w:val="24"/>
          <w:lang w:val="fr-FR"/>
        </w:rPr>
        <w:t xml:space="preserve"> ,  </w:t>
      </w:r>
      <w:hyperlink r:id="rId20" w:tgtFrame="_blank" w:history="1">
        <w:r w:rsidRPr="00E378CF">
          <w:rPr>
            <w:rFonts w:ascii="Times New Roman" w:eastAsia="Times New Roman" w:hAnsi="Times New Roman" w:cs="Times New Roman"/>
            <w:b/>
            <w:bCs/>
            <w:color w:val="0000FF"/>
            <w:sz w:val="24"/>
            <w:szCs w:val="24"/>
            <w:u w:val="single"/>
            <w:lang w:val="fr-FR"/>
          </w:rPr>
          <w:t>5</w:t>
        </w:r>
      </w:hyperlink>
      <w:r w:rsidRPr="00E378CF">
        <w:rPr>
          <w:rFonts w:ascii="Times New Roman" w:eastAsia="Times New Roman" w:hAnsi="Times New Roman" w:cs="Times New Roman"/>
          <w:b/>
          <w:bCs/>
          <w:sz w:val="24"/>
          <w:szCs w:val="24"/>
          <w:lang w:val="fr-FR"/>
        </w:rPr>
        <w:t xml:space="preserve"> , qui feront systématiquement l’objet d’une sanction disciplinaire en vertu de l’article  </w:t>
      </w:r>
      <w:hyperlink r:id="rId21" w:tgtFrame="_blank" w:history="1">
        <w:r w:rsidRPr="00E378CF">
          <w:rPr>
            <w:rFonts w:ascii="Times New Roman" w:eastAsia="Times New Roman" w:hAnsi="Times New Roman" w:cs="Times New Roman"/>
            <w:b/>
            <w:bCs/>
            <w:color w:val="0000FF"/>
            <w:sz w:val="24"/>
            <w:szCs w:val="24"/>
            <w:u w:val="single"/>
            <w:lang w:val="fr-FR"/>
          </w:rPr>
          <w:t xml:space="preserve">L1153-6 </w:t>
        </w:r>
      </w:hyperlink>
    </w:p>
    <w:p w:rsidR="00E378CF" w:rsidRPr="00E378CF" w:rsidRDefault="00E378CF" w:rsidP="00E378CF">
      <w:pPr>
        <w:numPr>
          <w:ilvl w:val="0"/>
          <w:numId w:val="1"/>
        </w:numPr>
        <w:spacing w:before="100" w:beforeAutospacing="1" w:after="100" w:afterAutospacing="1" w:line="240" w:lineRule="auto"/>
        <w:rPr>
          <w:rFonts w:ascii="Times New Roman" w:eastAsia="Times New Roman" w:hAnsi="Times New Roman" w:cs="Times New Roman"/>
          <w:sz w:val="24"/>
          <w:szCs w:val="24"/>
          <w:lang w:val="fr-FR"/>
        </w:rPr>
      </w:pPr>
      <w:r w:rsidRPr="00E378CF">
        <w:rPr>
          <w:rFonts w:ascii="Times New Roman" w:eastAsia="Times New Roman" w:hAnsi="Times New Roman" w:cs="Times New Roman"/>
          <w:b/>
          <w:bCs/>
          <w:sz w:val="24"/>
          <w:szCs w:val="24"/>
          <w:lang w:val="fr-FR"/>
        </w:rPr>
        <w:t xml:space="preserve">- les dispositions relatives à l'interdiction de toute pratique de harcèlement moral : articles </w:t>
      </w:r>
      <w:hyperlink r:id="rId22" w:anchor="LEGIARTI000006900818" w:tgtFrame="_blank" w:history="1">
        <w:r w:rsidRPr="00E378CF">
          <w:rPr>
            <w:rFonts w:ascii="Times New Roman" w:eastAsia="Times New Roman" w:hAnsi="Times New Roman" w:cs="Times New Roman"/>
            <w:b/>
            <w:bCs/>
            <w:color w:val="0000FF"/>
            <w:sz w:val="24"/>
            <w:szCs w:val="24"/>
            <w:u w:val="single"/>
            <w:lang w:val="fr-FR"/>
          </w:rPr>
          <w:t>L1152-1</w:t>
        </w:r>
      </w:hyperlink>
      <w:r w:rsidRPr="00E378CF">
        <w:rPr>
          <w:rFonts w:ascii="Times New Roman" w:eastAsia="Times New Roman" w:hAnsi="Times New Roman" w:cs="Times New Roman"/>
          <w:b/>
          <w:bCs/>
          <w:sz w:val="24"/>
          <w:szCs w:val="24"/>
          <w:lang w:val="fr-FR"/>
        </w:rPr>
        <w:t xml:space="preserve"> , </w:t>
      </w:r>
      <w:hyperlink r:id="rId23" w:tgtFrame="_blank" w:history="1">
        <w:r w:rsidRPr="00E378CF">
          <w:rPr>
            <w:rFonts w:ascii="Times New Roman" w:eastAsia="Times New Roman" w:hAnsi="Times New Roman" w:cs="Times New Roman"/>
            <w:b/>
            <w:bCs/>
            <w:color w:val="0000FF"/>
            <w:sz w:val="24"/>
            <w:szCs w:val="24"/>
            <w:u w:val="single"/>
            <w:lang w:val="fr-FR"/>
          </w:rPr>
          <w:t>2</w:t>
        </w:r>
      </w:hyperlink>
      <w:r w:rsidRPr="00E378CF">
        <w:rPr>
          <w:rFonts w:ascii="Times New Roman" w:eastAsia="Times New Roman" w:hAnsi="Times New Roman" w:cs="Times New Roman"/>
          <w:b/>
          <w:bCs/>
          <w:sz w:val="24"/>
          <w:szCs w:val="24"/>
          <w:lang w:val="fr-FR"/>
        </w:rPr>
        <w:t xml:space="preserve"> et </w:t>
      </w:r>
      <w:hyperlink r:id="rId24" w:tgtFrame="_blank" w:history="1">
        <w:r w:rsidRPr="00E378CF">
          <w:rPr>
            <w:rFonts w:ascii="Times New Roman" w:eastAsia="Times New Roman" w:hAnsi="Times New Roman" w:cs="Times New Roman"/>
            <w:b/>
            <w:bCs/>
            <w:color w:val="0000FF"/>
            <w:sz w:val="24"/>
            <w:szCs w:val="24"/>
            <w:u w:val="single"/>
            <w:lang w:val="fr-FR"/>
          </w:rPr>
          <w:t>3</w:t>
        </w:r>
      </w:hyperlink>
      <w:r w:rsidRPr="00E378CF">
        <w:rPr>
          <w:rFonts w:ascii="Times New Roman" w:eastAsia="Times New Roman" w:hAnsi="Times New Roman" w:cs="Times New Roman"/>
          <w:b/>
          <w:bCs/>
          <w:sz w:val="24"/>
          <w:szCs w:val="24"/>
          <w:lang w:val="fr-FR"/>
        </w:rPr>
        <w:t xml:space="preserve"> </w:t>
      </w:r>
    </w:p>
    <w:p w:rsidR="00E378CF" w:rsidRPr="00E378CF" w:rsidRDefault="00E378CF" w:rsidP="00E378CF">
      <w:pPr>
        <w:numPr>
          <w:ilvl w:val="0"/>
          <w:numId w:val="1"/>
        </w:numPr>
        <w:spacing w:before="100" w:beforeAutospacing="1" w:after="100" w:afterAutospacing="1" w:line="240" w:lineRule="auto"/>
        <w:rPr>
          <w:rFonts w:ascii="Times New Roman" w:eastAsia="Times New Roman" w:hAnsi="Times New Roman" w:cs="Times New Roman"/>
          <w:sz w:val="24"/>
          <w:szCs w:val="24"/>
          <w:lang w:val="fr-FR"/>
        </w:rPr>
      </w:pPr>
      <w:r w:rsidRPr="00E378CF">
        <w:rPr>
          <w:rFonts w:ascii="Times New Roman" w:eastAsia="Times New Roman" w:hAnsi="Times New Roman" w:cs="Times New Roman"/>
          <w:b/>
          <w:bCs/>
          <w:sz w:val="24"/>
          <w:szCs w:val="24"/>
          <w:lang w:val="fr-FR"/>
        </w:rPr>
        <w:t xml:space="preserve">- </w:t>
      </w:r>
      <w:r w:rsidRPr="00E378CF">
        <w:rPr>
          <w:rFonts w:ascii="Times New Roman" w:eastAsia="Times New Roman" w:hAnsi="Times New Roman" w:cs="Times New Roman"/>
          <w:sz w:val="24"/>
          <w:szCs w:val="24"/>
          <w:lang w:val="fr-FR"/>
        </w:rPr>
        <w:t>Le règlement intérieur doit également contenir les dispositions relatives aux droits de la défense des salariés lorsqu'une sanction est envisagée.</w:t>
      </w:r>
    </w:p>
    <w:p w:rsidR="00E378CF" w:rsidRPr="00E378CF" w:rsidRDefault="00E378CF" w:rsidP="00E378CF">
      <w:pPr>
        <w:numPr>
          <w:ilvl w:val="0"/>
          <w:numId w:val="1"/>
        </w:numPr>
        <w:spacing w:before="100" w:beforeAutospacing="1" w:after="100" w:afterAutospacing="1" w:line="240" w:lineRule="auto"/>
        <w:rPr>
          <w:rFonts w:ascii="Times New Roman" w:eastAsia="Times New Roman" w:hAnsi="Times New Roman" w:cs="Times New Roman"/>
          <w:sz w:val="24"/>
          <w:szCs w:val="24"/>
          <w:lang w:val="fr-FR"/>
        </w:rPr>
      </w:pPr>
      <w:r w:rsidRPr="00E378CF">
        <w:rPr>
          <w:rFonts w:ascii="Times New Roman" w:eastAsia="Times New Roman" w:hAnsi="Times New Roman" w:cs="Times New Roman"/>
          <w:sz w:val="24"/>
          <w:szCs w:val="24"/>
          <w:lang w:val="fr-FR"/>
        </w:rPr>
        <w:t>- De même, le règlement intérieur doit indiquer la date de son entrée en vigueur.</w:t>
      </w:r>
    </w:p>
    <w:p w:rsidR="00E378CF" w:rsidRDefault="00FE45BE" w:rsidP="00E563AA">
      <w:pPr>
        <w:pStyle w:val="chapo"/>
        <w:rPr>
          <w:lang w:val="fr-FR"/>
        </w:rPr>
      </w:pPr>
      <w:r w:rsidRPr="00FE45BE">
        <w:rPr>
          <w:lang w:val="fr-FR"/>
        </w:rPr>
        <w:t xml:space="preserve">Le règlement ne peut contenir aucune autre matière que celle énumérées ci-dessus. En effet, si l'employeur souhaite mettre en valeur d'autres matières, d'autres thèmes, il ne peut le faire qu'au travers des contrats de travail, des notes de services, des accords collectifs, etc. … mais jamais par le biais du règlement </w:t>
      </w:r>
      <w:proofErr w:type="gramStart"/>
      <w:r w:rsidRPr="00FE45BE">
        <w:rPr>
          <w:lang w:val="fr-FR"/>
        </w:rPr>
        <w:t>intérieur .</w:t>
      </w:r>
      <w:proofErr w:type="gramEnd"/>
    </w:p>
    <w:p w:rsidR="00A86869" w:rsidRDefault="00A86869" w:rsidP="00E563AA">
      <w:pPr>
        <w:pStyle w:val="chapo"/>
        <w:rPr>
          <w:lang w:val="fr-FR"/>
        </w:rPr>
      </w:pPr>
    </w:p>
    <w:p w:rsidR="00A86869" w:rsidRPr="00FE45BE" w:rsidRDefault="00A86869" w:rsidP="00E563AA">
      <w:pPr>
        <w:pStyle w:val="chapo"/>
        <w:rPr>
          <w:lang w:val="fr-FR"/>
        </w:rPr>
      </w:pPr>
      <w:r w:rsidRPr="00A86869">
        <w:rPr>
          <w:lang w:val="fr-FR"/>
        </w:rPr>
        <w:t xml:space="preserve">Le règlement intérieur ne peut contenir de clauses contraires aux lois et règlements en vigueur ou aux dispositions des conventions et accords collectifs applicables dans l’entreprise </w:t>
      </w:r>
      <w:r w:rsidRPr="00A86869">
        <w:rPr>
          <w:rStyle w:val="Strong"/>
          <w:lang w:val="fr-FR"/>
        </w:rPr>
        <w:t>(</w:t>
      </w:r>
      <w:hyperlink r:id="rId25" w:tgtFrame="_blank" w:history="1">
        <w:r w:rsidRPr="00A86869">
          <w:rPr>
            <w:rStyle w:val="Hyperlink"/>
            <w:b/>
            <w:bCs/>
            <w:lang w:val="fr-FR"/>
          </w:rPr>
          <w:t xml:space="preserve">C. </w:t>
        </w:r>
        <w:proofErr w:type="spellStart"/>
        <w:proofErr w:type="gramStart"/>
        <w:r w:rsidRPr="00A86869">
          <w:rPr>
            <w:rStyle w:val="Hyperlink"/>
            <w:b/>
            <w:bCs/>
            <w:lang w:val="fr-FR"/>
          </w:rPr>
          <w:t>trav</w:t>
        </w:r>
        <w:proofErr w:type="spellEnd"/>
        <w:r w:rsidRPr="00A86869">
          <w:rPr>
            <w:rStyle w:val="Hyperlink"/>
            <w:b/>
            <w:bCs/>
            <w:lang w:val="fr-FR"/>
          </w:rPr>
          <w:t>.,</w:t>
        </w:r>
        <w:proofErr w:type="gramEnd"/>
        <w:r w:rsidRPr="00A86869">
          <w:rPr>
            <w:rStyle w:val="Hyperlink"/>
            <w:b/>
            <w:bCs/>
            <w:lang w:val="fr-FR"/>
          </w:rPr>
          <w:t xml:space="preserve"> art. L1321-3</w:t>
        </w:r>
      </w:hyperlink>
      <w:r w:rsidRPr="00A86869">
        <w:rPr>
          <w:rStyle w:val="Strong"/>
          <w:lang w:val="fr-FR"/>
        </w:rPr>
        <w:t>).</w:t>
      </w:r>
    </w:p>
    <w:p w:rsidR="00E378CF" w:rsidRDefault="00A86869" w:rsidP="00E563AA">
      <w:pPr>
        <w:pStyle w:val="chapo"/>
        <w:rPr>
          <w:lang w:val="fr-FR"/>
        </w:rPr>
      </w:pPr>
      <w:r w:rsidRPr="00A86869">
        <w:rPr>
          <w:lang w:val="fr-FR"/>
        </w:rPr>
        <w:t>De même, le règlement intérieur ne peut contenir d'interdictions exagérées ou injustifiées par rapport à la nature de la tâche à accompli</w:t>
      </w:r>
    </w:p>
    <w:p w:rsidR="00A86869" w:rsidRDefault="00A86869" w:rsidP="00E563AA">
      <w:pPr>
        <w:pStyle w:val="chapo"/>
        <w:rPr>
          <w:lang w:val="fr-FR"/>
        </w:rPr>
      </w:pPr>
      <w:r w:rsidRPr="00A86869">
        <w:rPr>
          <w:lang w:val="fr-FR"/>
        </w:rPr>
        <w:t>sont illégales les dispositions d'un règlement intérieur portant atteinte aux droits de la personne lorsqu'elles excèdent par leur généralité l'étendue des sujétions que l'employeur peut légalement imposer en vue d'assurer la sécurité dans son entreprise</w:t>
      </w:r>
    </w:p>
    <w:p w:rsidR="00A86869" w:rsidRDefault="00A86869" w:rsidP="00E563AA">
      <w:pPr>
        <w:pStyle w:val="chapo"/>
        <w:rPr>
          <w:lang w:val="fr-FR"/>
        </w:rPr>
      </w:pPr>
      <w:proofErr w:type="gramStart"/>
      <w:r>
        <w:rPr>
          <w:lang w:val="fr-FR"/>
        </w:rPr>
        <w:t>port</w:t>
      </w:r>
      <w:proofErr w:type="gramEnd"/>
      <w:r>
        <w:rPr>
          <w:lang w:val="fr-FR"/>
        </w:rPr>
        <w:t xml:space="preserve"> du badge </w:t>
      </w:r>
    </w:p>
    <w:p w:rsidR="00A86869" w:rsidRDefault="00A86869" w:rsidP="00E563AA">
      <w:pPr>
        <w:pStyle w:val="chapo"/>
        <w:rPr>
          <w:lang w:val="fr-FR"/>
        </w:rPr>
      </w:pPr>
      <w:r w:rsidRPr="00A86869">
        <w:rPr>
          <w:lang w:val="fr-FR"/>
        </w:rPr>
        <w:t>E 40574, JO AN 29 juillet 1991, p. 3041</w:t>
      </w:r>
    </w:p>
    <w:p w:rsidR="00A86869" w:rsidRDefault="00A86869" w:rsidP="00E563AA">
      <w:pPr>
        <w:pStyle w:val="chapo"/>
        <w:rPr>
          <w:lang w:val="fr-FR"/>
        </w:rPr>
      </w:pPr>
      <w:r w:rsidRPr="00A86869">
        <w:rPr>
          <w:lang w:val="fr-FR"/>
        </w:rPr>
        <w:t>Clause prescrivant au salarié de prévenir la direction de tout changement dans sa situation individuelle et familiale clause ne relevant pas de la discipline générale (TA Paris 12 février 1985, Sté Régie</w:t>
      </w:r>
      <w:r w:rsidRPr="00A86869">
        <w:rPr>
          <w:rStyle w:val="Strong"/>
          <w:lang w:val="fr-FR"/>
        </w:rPr>
        <w:t xml:space="preserve"> </w:t>
      </w:r>
      <w:r w:rsidRPr="00A86869">
        <w:rPr>
          <w:lang w:val="fr-FR"/>
        </w:rPr>
        <w:t>Presse) ;</w:t>
      </w:r>
    </w:p>
    <w:p w:rsidR="00287D4F" w:rsidRPr="002F7AAE" w:rsidRDefault="00287D4F" w:rsidP="00E563AA">
      <w:pPr>
        <w:pStyle w:val="chapo"/>
        <w:rPr>
          <w:rStyle w:val="Strong"/>
          <w:lang w:val="fr-FR"/>
        </w:rPr>
      </w:pPr>
      <w:r w:rsidRPr="00287D4F">
        <w:rPr>
          <w:rStyle w:val="Strong"/>
          <w:lang w:val="fr-FR"/>
        </w:rPr>
        <w:t xml:space="preserve">La loi garantit à chacun le respect de sa vie privée </w:t>
      </w:r>
      <w:r w:rsidRPr="00287D4F">
        <w:rPr>
          <w:rStyle w:val="Emphasis"/>
          <w:b/>
          <w:bCs/>
          <w:lang w:val="fr-FR"/>
        </w:rPr>
        <w:t>(article 9 du Code civil).</w:t>
      </w:r>
      <w:r w:rsidRPr="00287D4F">
        <w:rPr>
          <w:rStyle w:val="Strong"/>
          <w:lang w:val="fr-FR"/>
        </w:rPr>
        <w:t xml:space="preserve"> L’employeur ne peut donc pas s’immiscer dans les affaires personnelles de ses salariés. Sauf si celles-ci empiètent de manière abusive sur la vie de l’entreprise. L’employeur </w:t>
      </w:r>
      <w:proofErr w:type="gramStart"/>
      <w:r w:rsidRPr="00287D4F">
        <w:rPr>
          <w:rStyle w:val="Strong"/>
          <w:lang w:val="fr-FR"/>
        </w:rPr>
        <w:t>dispose</w:t>
      </w:r>
      <w:proofErr w:type="gramEnd"/>
      <w:r w:rsidRPr="00287D4F">
        <w:rPr>
          <w:rStyle w:val="Strong"/>
          <w:lang w:val="fr-FR"/>
        </w:rPr>
        <w:t xml:space="preserve"> d’un pouvoir de direction, cependant, ce pouvoir ne peut porter atteinte aux droits des personnes, aux libertés individuelles et collectifs des salariés </w:t>
      </w:r>
      <w:r w:rsidRPr="00287D4F">
        <w:rPr>
          <w:rStyle w:val="Emphasis"/>
          <w:b/>
          <w:bCs/>
          <w:lang w:val="fr-FR"/>
        </w:rPr>
        <w:t>(Article L 1121-1 du Code du travail).</w:t>
      </w:r>
      <w:r w:rsidRPr="00287D4F">
        <w:rPr>
          <w:rStyle w:val="Strong"/>
          <w:lang w:val="fr-FR"/>
        </w:rPr>
        <w:t xml:space="preserve"> Dans ce cas, l’employeur pourra prendre des mesures, du moment qu’elles sont nécessaires et proportionnées. </w:t>
      </w:r>
      <w:r w:rsidRPr="002F7AAE">
        <w:rPr>
          <w:rStyle w:val="Strong"/>
          <w:lang w:val="fr-FR"/>
        </w:rPr>
        <w:t>Quelques cas concrets pour mieux comprendre.</w:t>
      </w:r>
    </w:p>
    <w:p w:rsidR="00287D4F" w:rsidRPr="002F7AAE" w:rsidRDefault="00287D4F" w:rsidP="00E563AA">
      <w:pPr>
        <w:pStyle w:val="chapo"/>
        <w:rPr>
          <w:rStyle w:val="Strong"/>
          <w:lang w:val="fr-FR"/>
        </w:rPr>
      </w:pPr>
    </w:p>
    <w:p w:rsidR="00287D4F" w:rsidRDefault="00287D4F" w:rsidP="00E563AA">
      <w:pPr>
        <w:pStyle w:val="chapo"/>
        <w:rPr>
          <w:lang w:val="fr-FR"/>
        </w:rPr>
      </w:pPr>
      <w:r w:rsidRPr="00287D4F">
        <w:rPr>
          <w:lang w:val="fr-FR"/>
        </w:rPr>
        <w:t xml:space="preserve">Les informations que l’employeur peut demander à un candidat ou à un salarié doivent avoir un </w:t>
      </w:r>
      <w:r w:rsidRPr="00287D4F">
        <w:rPr>
          <w:rStyle w:val="Strong"/>
          <w:lang w:val="fr-FR"/>
        </w:rPr>
        <w:t>lien « direct et nécessaire »</w:t>
      </w:r>
      <w:r w:rsidRPr="00287D4F">
        <w:rPr>
          <w:lang w:val="fr-FR"/>
        </w:rPr>
        <w:t xml:space="preserve"> avec l’emploi proposé ou la procédure d’évaluation </w:t>
      </w:r>
      <w:r w:rsidRPr="00287D4F">
        <w:rPr>
          <w:rStyle w:val="Emphasis"/>
          <w:lang w:val="fr-FR"/>
        </w:rPr>
        <w:t>(articles L. 1221-6 et L. 1222-2 du Code du travail).</w:t>
      </w:r>
      <w:r w:rsidRPr="00287D4F">
        <w:rPr>
          <w:lang w:val="fr-FR"/>
        </w:rPr>
        <w:t xml:space="preserve"> Autrement dit, les questions concernant la vie privée et n’ayant pas de rapport avec le travail sont interdites.</w:t>
      </w:r>
    </w:p>
    <w:p w:rsidR="00B54C55" w:rsidRDefault="00B54C55" w:rsidP="00E563AA">
      <w:pPr>
        <w:pStyle w:val="chapo"/>
        <w:rPr>
          <w:lang w:val="fr-FR"/>
        </w:rPr>
      </w:pPr>
    </w:p>
    <w:p w:rsidR="00B54C55" w:rsidRPr="00B54C55" w:rsidRDefault="00B54C55" w:rsidP="00B54C55">
      <w:pPr>
        <w:pStyle w:val="Heading3"/>
        <w:rPr>
          <w:lang w:val="fr-FR"/>
        </w:rPr>
      </w:pPr>
      <w:proofErr w:type="gramStart"/>
      <w:r w:rsidRPr="00B54C55">
        <w:rPr>
          <w:lang w:val="fr-FR"/>
        </w:rPr>
        <w:t>e</w:t>
      </w:r>
      <w:proofErr w:type="gramEnd"/>
      <w:r w:rsidRPr="00B54C55">
        <w:rPr>
          <w:lang w:val="fr-FR"/>
        </w:rPr>
        <w:t xml:space="preserve"> forfait jours est réservé aux salariés disposant d’une certaine maîtrise de leur emploi du temps</w:t>
      </w:r>
    </w:p>
    <w:p w:rsidR="00B54C55" w:rsidRPr="00B54C55" w:rsidRDefault="00B54C55" w:rsidP="00B54C55">
      <w:pPr>
        <w:pStyle w:val="NormalWeb"/>
        <w:rPr>
          <w:lang w:val="fr-FR"/>
        </w:rPr>
      </w:pPr>
      <w:r w:rsidRPr="00B54C55">
        <w:rPr>
          <w:lang w:val="fr-FR"/>
        </w:rPr>
        <w:t>Rappelons que conformément à l’article L. 3121-42 du code du travail, seuls peuvent conclure une convention de forfait annuel en jours :</w:t>
      </w:r>
    </w:p>
    <w:p w:rsidR="00B54C55" w:rsidRPr="00B54C55" w:rsidRDefault="00B54C55" w:rsidP="00B54C55">
      <w:pPr>
        <w:numPr>
          <w:ilvl w:val="0"/>
          <w:numId w:val="2"/>
        </w:numPr>
        <w:spacing w:before="100" w:beforeAutospacing="1" w:after="100" w:afterAutospacing="1" w:line="240" w:lineRule="auto"/>
        <w:rPr>
          <w:lang w:val="fr-FR"/>
        </w:rPr>
      </w:pPr>
      <w:r w:rsidRPr="00B54C55">
        <w:rPr>
          <w:lang w:val="fr-FR"/>
        </w:rPr>
        <w:lastRenderedPageBreak/>
        <w:t xml:space="preserve">les cadres qui disposent d’une </w:t>
      </w:r>
      <w:r w:rsidRPr="00B54C55">
        <w:rPr>
          <w:rStyle w:val="Strong"/>
          <w:lang w:val="fr-FR"/>
        </w:rPr>
        <w:t>autonomie dans l’organisation de leur emploi du temps</w:t>
      </w:r>
      <w:r w:rsidRPr="00B54C55">
        <w:rPr>
          <w:lang w:val="fr-FR"/>
        </w:rPr>
        <w:t xml:space="preserve"> et dont la nature des fonctions ne les conduit pas à suivre l’horaire collectif applicable au sein de l’atelier, du service ou de l’équipe auquel ils sont intégrés ;</w:t>
      </w:r>
    </w:p>
    <w:p w:rsidR="00B54C55" w:rsidRPr="00B54C55" w:rsidRDefault="00B54C55" w:rsidP="00B54C55">
      <w:pPr>
        <w:numPr>
          <w:ilvl w:val="0"/>
          <w:numId w:val="2"/>
        </w:numPr>
        <w:spacing w:before="100" w:beforeAutospacing="1" w:after="100" w:afterAutospacing="1" w:line="240" w:lineRule="auto"/>
        <w:rPr>
          <w:lang w:val="fr-FR"/>
        </w:rPr>
      </w:pPr>
      <w:r w:rsidRPr="00B54C55">
        <w:rPr>
          <w:lang w:val="fr-FR"/>
        </w:rPr>
        <w:t xml:space="preserve">les salariés dont la durée du temps de travail ne </w:t>
      </w:r>
      <w:proofErr w:type="gramStart"/>
      <w:r w:rsidRPr="00B54C55">
        <w:rPr>
          <w:lang w:val="fr-FR"/>
        </w:rPr>
        <w:t>peut</w:t>
      </w:r>
      <w:proofErr w:type="gramEnd"/>
      <w:r w:rsidRPr="00B54C55">
        <w:rPr>
          <w:lang w:val="fr-FR"/>
        </w:rPr>
        <w:t xml:space="preserve"> être prédéterminée et qui disposent d’une </w:t>
      </w:r>
      <w:r w:rsidRPr="00B54C55">
        <w:rPr>
          <w:rStyle w:val="Strong"/>
          <w:lang w:val="fr-FR"/>
        </w:rPr>
        <w:t>réelle autonomie dans l’organisation de leur emploi</w:t>
      </w:r>
      <w:r w:rsidRPr="00B54C55">
        <w:rPr>
          <w:lang w:val="fr-FR"/>
        </w:rPr>
        <w:t xml:space="preserve"> pour l’exercice des responsabilités qui leur sont confiées.</w:t>
      </w:r>
    </w:p>
    <w:p w:rsidR="00B54C55" w:rsidRPr="00B54C55" w:rsidRDefault="00B54C55" w:rsidP="00B54C55">
      <w:pPr>
        <w:spacing w:after="0"/>
        <w:rPr>
          <w:lang w:val="fr-FR"/>
        </w:rPr>
      </w:pPr>
      <w:r w:rsidRPr="00B54C55">
        <w:rPr>
          <w:lang w:val="fr-FR"/>
        </w:rPr>
        <w:br/>
        <w:t>En savoir plus sur http://business.lesechos.fr/directions-ressources-humaines/partenaire/les-cadres-au-forfait-jours-autonomes-mais-responsables-9560.php?d0TvYfj6XKyHObTU.99</w:t>
      </w:r>
    </w:p>
    <w:p w:rsidR="00B54C55" w:rsidRPr="00B54C55" w:rsidRDefault="00B54C55" w:rsidP="00B54C55">
      <w:pPr>
        <w:spacing w:before="100" w:beforeAutospacing="1" w:after="100" w:afterAutospacing="1" w:line="240" w:lineRule="auto"/>
        <w:rPr>
          <w:rFonts w:ascii="Times New Roman" w:eastAsia="Times New Roman" w:hAnsi="Times New Roman" w:cs="Times New Roman"/>
          <w:sz w:val="24"/>
          <w:szCs w:val="24"/>
          <w:lang w:val="fr-FR"/>
        </w:rPr>
      </w:pPr>
      <w:r w:rsidRPr="00B54C55">
        <w:rPr>
          <w:rFonts w:ascii="Times New Roman" w:eastAsia="Times New Roman" w:hAnsi="Times New Roman" w:cs="Times New Roman"/>
          <w:color w:val="0B333C"/>
          <w:sz w:val="24"/>
          <w:szCs w:val="24"/>
          <w:lang w:val="fr-FR"/>
        </w:rPr>
        <w:t>La Cour de Cassation a déjà affirmé qu'</w:t>
      </w:r>
      <w:hyperlink r:id="rId26" w:history="1">
        <w:r w:rsidRPr="00B54C55">
          <w:rPr>
            <w:rFonts w:ascii="Times New Roman" w:eastAsia="Times New Roman" w:hAnsi="Times New Roman" w:cs="Times New Roman"/>
            <w:color w:val="0000FF"/>
            <w:sz w:val="24"/>
            <w:szCs w:val="24"/>
            <w:u w:val="single"/>
            <w:lang w:val="fr-FR"/>
          </w:rPr>
          <w:t>u</w:t>
        </w:r>
      </w:hyperlink>
      <w:hyperlink r:id="rId27" w:history="1">
        <w:r w:rsidRPr="00B54C55">
          <w:rPr>
            <w:rFonts w:ascii="Times New Roman" w:eastAsia="Times New Roman" w:hAnsi="Times New Roman" w:cs="Times New Roman"/>
            <w:b/>
            <w:bCs/>
            <w:color w:val="0000FF"/>
            <w:sz w:val="24"/>
            <w:szCs w:val="24"/>
            <w:u w:val="single"/>
            <w:lang w:val="fr-FR"/>
          </w:rPr>
          <w:t>n salarié qui n'est pas maître de son emploi du temps, ne peut pas être rémunéré au forfait jours.</w:t>
        </w:r>
      </w:hyperlink>
    </w:p>
    <w:p w:rsidR="00B54C55" w:rsidRPr="00B54C55" w:rsidRDefault="00B54C55" w:rsidP="00B54C55">
      <w:pPr>
        <w:spacing w:before="100" w:beforeAutospacing="1" w:after="100" w:afterAutospacing="1" w:line="240" w:lineRule="auto"/>
        <w:rPr>
          <w:rFonts w:ascii="Times New Roman" w:eastAsia="Times New Roman" w:hAnsi="Times New Roman" w:cs="Times New Roman"/>
          <w:sz w:val="24"/>
          <w:szCs w:val="24"/>
          <w:lang w:val="fr-FR"/>
        </w:rPr>
      </w:pPr>
      <w:r w:rsidRPr="00B54C55">
        <w:rPr>
          <w:rFonts w:ascii="Times New Roman" w:eastAsia="Times New Roman" w:hAnsi="Times New Roman" w:cs="Times New Roman"/>
          <w:b/>
          <w:bCs/>
          <w:color w:val="0B333C"/>
          <w:sz w:val="24"/>
          <w:szCs w:val="24"/>
          <w:lang w:val="fr-FR"/>
        </w:rPr>
        <w:t>Cela signifie que le cadre autonome ne peut se voir imposer des horaires de travail prédéterminés et donc un planning avec des horaires de présence.</w:t>
      </w:r>
    </w:p>
    <w:p w:rsidR="00B54C55" w:rsidRPr="002F7AAE" w:rsidRDefault="00B54C55" w:rsidP="00E563AA">
      <w:pPr>
        <w:pStyle w:val="chapo"/>
        <w:rPr>
          <w:color w:val="0B333C"/>
          <w:lang w:val="fr-FR"/>
        </w:rPr>
      </w:pPr>
      <w:r>
        <w:rPr>
          <w:rStyle w:val="Emphasis"/>
          <w:b/>
          <w:bCs/>
          <w:color w:val="0B333C"/>
          <w:lang w:val="fr-FR"/>
        </w:rPr>
        <w:t>Le fait de se plier à des horaires de travail est</w:t>
      </w:r>
      <w:r w:rsidRPr="00B54C55">
        <w:rPr>
          <w:rStyle w:val="Emphasis"/>
          <w:b/>
          <w:bCs/>
          <w:color w:val="0B333C"/>
          <w:lang w:val="fr-FR"/>
        </w:rPr>
        <w:t xml:space="preserve"> antinomique avec la notion de cadre autonome</w:t>
      </w:r>
      <w:r w:rsidRPr="00B54C55">
        <w:rPr>
          <w:rStyle w:val="Emphasis"/>
          <w:color w:val="0B333C"/>
          <w:lang w:val="fr-FR"/>
        </w:rPr>
        <w:t>.</w:t>
      </w:r>
      <w:r w:rsidRPr="00B54C55">
        <w:rPr>
          <w:color w:val="0B333C"/>
          <w:lang w:val="fr-FR"/>
        </w:rPr>
        <w:t>"(</w:t>
      </w:r>
      <w:hyperlink r:id="rId28" w:history="1">
        <w:r w:rsidRPr="002F7AAE">
          <w:rPr>
            <w:rStyle w:val="Hyperlink"/>
            <w:lang w:val="fr-FR"/>
          </w:rPr>
          <w:t>Cour de cassation, civile, Chambre sociale, 23 janvier 2013, 11-12.323 11-12.324 11-12.325 11-12.326 11-12.327 11-12.328, Inédit</w:t>
        </w:r>
      </w:hyperlink>
      <w:r w:rsidRPr="002F7AAE">
        <w:rPr>
          <w:color w:val="0B333C"/>
          <w:lang w:val="fr-FR"/>
        </w:rPr>
        <w:t>).</w:t>
      </w:r>
    </w:p>
    <w:p w:rsidR="00B54C55" w:rsidRDefault="00B54C55" w:rsidP="00B54C55">
      <w:pPr>
        <w:spacing w:before="100" w:beforeAutospacing="1" w:after="100" w:afterAutospacing="1" w:line="240" w:lineRule="auto"/>
        <w:rPr>
          <w:rFonts w:ascii="Times New Roman" w:eastAsia="Times New Roman" w:hAnsi="Times New Roman" w:cs="Times New Roman"/>
          <w:color w:val="0B333C"/>
          <w:sz w:val="24"/>
          <w:szCs w:val="24"/>
          <w:lang w:val="fr-FR"/>
        </w:rPr>
      </w:pPr>
      <w:r w:rsidRPr="00B54C55">
        <w:rPr>
          <w:rFonts w:ascii="Times New Roman" w:eastAsia="Times New Roman" w:hAnsi="Times New Roman" w:cs="Times New Roman"/>
          <w:color w:val="0B333C"/>
          <w:sz w:val="24"/>
          <w:szCs w:val="24"/>
          <w:lang w:val="fr-FR"/>
        </w:rPr>
        <w:t>En d'autres termes,  si le c</w:t>
      </w:r>
      <w:r w:rsidRPr="00B54C55">
        <w:rPr>
          <w:rFonts w:ascii="Times New Roman" w:eastAsia="Times New Roman" w:hAnsi="Times New Roman" w:cs="Times New Roman"/>
          <w:b/>
          <w:bCs/>
          <w:color w:val="0B333C"/>
          <w:sz w:val="24"/>
          <w:szCs w:val="24"/>
          <w:lang w:val="fr-FR"/>
        </w:rPr>
        <w:t>adre est autonome</w:t>
      </w:r>
      <w:r w:rsidRPr="00B54C55">
        <w:rPr>
          <w:rFonts w:ascii="Times New Roman" w:eastAsia="Times New Roman" w:hAnsi="Times New Roman" w:cs="Times New Roman"/>
          <w:color w:val="0B333C"/>
          <w:sz w:val="24"/>
          <w:szCs w:val="24"/>
          <w:lang w:val="fr-FR"/>
        </w:rPr>
        <w:t xml:space="preserve">, il est </w:t>
      </w:r>
      <w:r w:rsidRPr="00B54C55">
        <w:rPr>
          <w:rFonts w:ascii="Times New Roman" w:eastAsia="Times New Roman" w:hAnsi="Times New Roman" w:cs="Times New Roman"/>
          <w:b/>
          <w:bCs/>
          <w:color w:val="0B333C"/>
          <w:sz w:val="24"/>
          <w:szCs w:val="24"/>
          <w:lang w:val="fr-FR"/>
        </w:rPr>
        <w:t>libre de l'organisation</w:t>
      </w:r>
      <w:r w:rsidRPr="00B54C55">
        <w:rPr>
          <w:rFonts w:ascii="Times New Roman" w:eastAsia="Times New Roman" w:hAnsi="Times New Roman" w:cs="Times New Roman"/>
          <w:color w:val="0B333C"/>
          <w:sz w:val="24"/>
          <w:szCs w:val="24"/>
          <w:lang w:val="fr-FR"/>
        </w:rPr>
        <w:t xml:space="preserve"> de son temps, sans planning de présence obligatoire.</w:t>
      </w:r>
    </w:p>
    <w:p w:rsidR="00B54C55" w:rsidRDefault="00B54C55" w:rsidP="00B54C55">
      <w:pPr>
        <w:spacing w:before="100" w:beforeAutospacing="1" w:after="100" w:afterAutospacing="1" w:line="240" w:lineRule="auto"/>
        <w:rPr>
          <w:lang w:val="fr-FR"/>
        </w:rPr>
      </w:pPr>
      <w:r w:rsidRPr="00B54C55">
        <w:rPr>
          <w:lang w:val="fr-FR"/>
        </w:rPr>
        <w:t>L'employeur ne peut pas sanctionner l'intéressé parce qu'il est arrivé ou parti en dehors des plages horaires fixées pour le reste du personnel.</w:t>
      </w:r>
    </w:p>
    <w:p w:rsidR="00DD213E" w:rsidRDefault="00DD213E" w:rsidP="00B54C55">
      <w:pPr>
        <w:spacing w:before="100" w:beforeAutospacing="1" w:after="100" w:afterAutospacing="1" w:line="240" w:lineRule="auto"/>
        <w:rPr>
          <w:lang w:val="fr-FR"/>
        </w:rPr>
      </w:pPr>
    </w:p>
    <w:p w:rsidR="00DD213E" w:rsidRPr="00DD213E" w:rsidRDefault="00DD213E" w:rsidP="00DD213E">
      <w:pPr>
        <w:spacing w:before="100" w:beforeAutospacing="1" w:after="100" w:afterAutospacing="1" w:line="240" w:lineRule="auto"/>
        <w:rPr>
          <w:rFonts w:ascii="Times New Roman" w:eastAsia="Times New Roman" w:hAnsi="Times New Roman" w:cs="Times New Roman"/>
          <w:sz w:val="24"/>
          <w:szCs w:val="24"/>
          <w:lang w:val="fr-FR"/>
        </w:rPr>
      </w:pPr>
      <w:r w:rsidRPr="00DD213E">
        <w:rPr>
          <w:rFonts w:ascii="Times New Roman" w:eastAsia="Times New Roman" w:hAnsi="Times New Roman" w:cs="Times New Roman"/>
          <w:sz w:val="24"/>
          <w:szCs w:val="24"/>
          <w:lang w:val="fr-FR"/>
        </w:rPr>
        <w:t xml:space="preserve">Le recours aux </w:t>
      </w:r>
      <w:r w:rsidRPr="00DD213E">
        <w:rPr>
          <w:rFonts w:ascii="Times New Roman" w:eastAsia="Times New Roman" w:hAnsi="Times New Roman" w:cs="Times New Roman"/>
          <w:b/>
          <w:bCs/>
          <w:sz w:val="24"/>
          <w:szCs w:val="24"/>
          <w:lang w:val="fr-FR"/>
        </w:rPr>
        <w:t>conventions de forfait en jours</w:t>
      </w:r>
      <w:r w:rsidRPr="00DD213E">
        <w:rPr>
          <w:rFonts w:ascii="Times New Roman" w:eastAsia="Times New Roman" w:hAnsi="Times New Roman" w:cs="Times New Roman"/>
          <w:sz w:val="24"/>
          <w:szCs w:val="24"/>
          <w:lang w:val="fr-FR"/>
        </w:rPr>
        <w:t xml:space="preserve"> </w:t>
      </w:r>
      <w:r w:rsidRPr="00DD213E">
        <w:rPr>
          <w:rFonts w:ascii="Times New Roman" w:eastAsia="Times New Roman" w:hAnsi="Times New Roman" w:cs="Times New Roman"/>
          <w:b/>
          <w:bCs/>
          <w:sz w:val="24"/>
          <w:szCs w:val="24"/>
          <w:lang w:val="fr-FR"/>
        </w:rPr>
        <w:t>sur l’année</w:t>
      </w:r>
      <w:r w:rsidRPr="00DD213E">
        <w:rPr>
          <w:rFonts w:ascii="Times New Roman" w:eastAsia="Times New Roman" w:hAnsi="Times New Roman" w:cs="Times New Roman"/>
          <w:sz w:val="24"/>
          <w:szCs w:val="24"/>
          <w:lang w:val="fr-FR"/>
        </w:rPr>
        <w:t xml:space="preserve"> est notamment soumis à la condition que le salarié soit autonome dans l’organisation de son emploi du temps, en application de l’article L 3121-43 du Code du travail.</w:t>
      </w:r>
    </w:p>
    <w:p w:rsidR="00DD213E" w:rsidRPr="00DD213E" w:rsidRDefault="00DD213E" w:rsidP="00DD213E">
      <w:pPr>
        <w:spacing w:before="100" w:beforeAutospacing="1" w:after="100" w:afterAutospacing="1" w:line="240" w:lineRule="auto"/>
        <w:rPr>
          <w:rFonts w:ascii="Times New Roman" w:eastAsia="Times New Roman" w:hAnsi="Times New Roman" w:cs="Times New Roman"/>
          <w:sz w:val="24"/>
          <w:szCs w:val="24"/>
          <w:lang w:val="fr-FR"/>
        </w:rPr>
      </w:pPr>
      <w:r w:rsidRPr="00DD213E">
        <w:rPr>
          <w:rFonts w:ascii="Times New Roman" w:eastAsia="Times New Roman" w:hAnsi="Times New Roman" w:cs="Times New Roman"/>
          <w:sz w:val="24"/>
          <w:szCs w:val="24"/>
          <w:lang w:val="fr-FR"/>
        </w:rPr>
        <w:t>Tel n’est pas le cas de salariés dont l’emploi du temps est inscrit dans les plannings définis par l’entreprise et imposant de fait leur présence à des horaires prédéterminés (</w:t>
      </w:r>
      <w:proofErr w:type="spellStart"/>
      <w:r w:rsidRPr="00DD213E">
        <w:rPr>
          <w:rFonts w:ascii="Times New Roman" w:eastAsia="Times New Roman" w:hAnsi="Times New Roman" w:cs="Times New Roman"/>
          <w:sz w:val="24"/>
          <w:szCs w:val="24"/>
          <w:lang w:val="fr-FR"/>
        </w:rPr>
        <w:t>Cass</w:t>
      </w:r>
      <w:proofErr w:type="spellEnd"/>
      <w:r w:rsidRPr="00DD213E">
        <w:rPr>
          <w:rFonts w:ascii="Times New Roman" w:eastAsia="Times New Roman" w:hAnsi="Times New Roman" w:cs="Times New Roman"/>
          <w:sz w:val="24"/>
          <w:szCs w:val="24"/>
          <w:lang w:val="fr-FR"/>
        </w:rPr>
        <w:t>. Soc., 23 janvier 2013, n°11-12.323).</w:t>
      </w:r>
    </w:p>
    <w:p w:rsidR="00DD213E" w:rsidRDefault="00DD213E" w:rsidP="00B54C55">
      <w:pPr>
        <w:spacing w:before="100" w:beforeAutospacing="1" w:after="100" w:afterAutospacing="1" w:line="240" w:lineRule="auto"/>
        <w:rPr>
          <w:lang w:val="fr-FR"/>
        </w:rPr>
      </w:pPr>
      <w:r w:rsidRPr="00DD213E">
        <w:rPr>
          <w:lang w:val="fr-FR"/>
        </w:rPr>
        <w:t>L'EMPLOYEUR D'EXIGER DES RENSEIGNEMENTS SANS RAPPORT DIRECT AVEC L'EMPLOI SOLLICITE ;</w:t>
      </w:r>
    </w:p>
    <w:p w:rsidR="00E72BB0" w:rsidRPr="00E72BB0" w:rsidRDefault="00E72BB0" w:rsidP="00E72BB0">
      <w:pPr>
        <w:pStyle w:val="Heading2"/>
        <w:rPr>
          <w:lang w:val="fr-FR"/>
        </w:rPr>
      </w:pPr>
      <w:r w:rsidRPr="00E72BB0">
        <w:rPr>
          <w:lang w:val="fr-FR"/>
        </w:rPr>
        <w:t>Cour de Cassation, Chambre sociale, du 17 octobre 1973, 72-40.360</w:t>
      </w:r>
    </w:p>
    <w:p w:rsidR="00E72BB0" w:rsidRPr="002F7AAE" w:rsidRDefault="00E72BB0" w:rsidP="00E72BB0">
      <w:pPr>
        <w:pStyle w:val="Heading1"/>
        <w:rPr>
          <w:sz w:val="24"/>
          <w:szCs w:val="24"/>
          <w:lang w:val="fr-FR"/>
        </w:rPr>
      </w:pPr>
      <w:r w:rsidRPr="002F7AAE">
        <w:rPr>
          <w:sz w:val="24"/>
          <w:szCs w:val="24"/>
          <w:lang w:val="fr-FR"/>
        </w:rPr>
        <w:t>Les fausses déclarations à l’embauche</w:t>
      </w:r>
    </w:p>
    <w:p w:rsidR="00E72BB0" w:rsidRPr="002F7AAE" w:rsidRDefault="00464065" w:rsidP="00E72BB0">
      <w:pPr>
        <w:pStyle w:val="Heading1"/>
        <w:rPr>
          <w:sz w:val="24"/>
          <w:szCs w:val="24"/>
          <w:lang w:val="fr-FR"/>
        </w:rPr>
      </w:pPr>
      <w:hyperlink r:id="rId29" w:history="1">
        <w:r w:rsidR="00B32F5B" w:rsidRPr="002F7AAE">
          <w:rPr>
            <w:rStyle w:val="Hyperlink"/>
            <w:sz w:val="24"/>
            <w:szCs w:val="24"/>
            <w:lang w:val="fr-FR"/>
          </w:rPr>
          <w:t>http://www.portailrh.org/votre_emploi/fiche_lapresse.aspx?f=63877</w:t>
        </w:r>
      </w:hyperlink>
    </w:p>
    <w:p w:rsidR="00B32F5B" w:rsidRPr="002F7AAE" w:rsidRDefault="00B32F5B" w:rsidP="00E72BB0">
      <w:pPr>
        <w:pStyle w:val="Heading1"/>
        <w:rPr>
          <w:sz w:val="24"/>
          <w:szCs w:val="24"/>
          <w:lang w:val="fr-FR"/>
        </w:rPr>
      </w:pPr>
    </w:p>
    <w:p w:rsidR="00B32F5B" w:rsidRPr="002F7AAE" w:rsidRDefault="00B32F5B" w:rsidP="00E72BB0">
      <w:pPr>
        <w:pStyle w:val="Heading1"/>
        <w:rPr>
          <w:sz w:val="24"/>
          <w:szCs w:val="24"/>
          <w:lang w:val="fr-FR"/>
        </w:rPr>
      </w:pPr>
      <w:proofErr w:type="gramStart"/>
      <w:r w:rsidRPr="002F7AAE">
        <w:rPr>
          <w:sz w:val="24"/>
          <w:szCs w:val="24"/>
          <w:lang w:val="fr-FR"/>
        </w:rPr>
        <w:lastRenderedPageBreak/>
        <w:t>diffuser</w:t>
      </w:r>
      <w:proofErr w:type="gramEnd"/>
      <w:r w:rsidRPr="002F7AAE">
        <w:rPr>
          <w:sz w:val="24"/>
          <w:szCs w:val="24"/>
          <w:lang w:val="fr-FR"/>
        </w:rPr>
        <w:t xml:space="preserve"> des journaux</w:t>
      </w:r>
    </w:p>
    <w:p w:rsidR="00292346" w:rsidRPr="00292346" w:rsidRDefault="00292346" w:rsidP="00292346">
      <w:pPr>
        <w:spacing w:after="0" w:line="240" w:lineRule="auto"/>
        <w:rPr>
          <w:rFonts w:ascii="Courier New" w:eastAsia="Times New Roman" w:hAnsi="Courier New" w:cs="Courier New"/>
          <w:sz w:val="25"/>
          <w:szCs w:val="25"/>
          <w:lang w:val="fr-FR"/>
        </w:rPr>
      </w:pPr>
      <w:r w:rsidRPr="00292346">
        <w:rPr>
          <w:rFonts w:ascii="Courier New" w:eastAsia="Times New Roman" w:hAnsi="Courier New" w:cs="Courier New"/>
          <w:sz w:val="25"/>
          <w:szCs w:val="25"/>
          <w:lang w:val="fr-FR"/>
        </w:rPr>
        <w:t>En premier lieu, le règlement intérieur ne doit pas</w:t>
      </w:r>
    </w:p>
    <w:p w:rsidR="00292346" w:rsidRPr="00292346" w:rsidRDefault="00292346" w:rsidP="00292346">
      <w:pPr>
        <w:spacing w:after="0" w:line="240" w:lineRule="auto"/>
        <w:rPr>
          <w:rFonts w:ascii="Courier New" w:eastAsia="Times New Roman" w:hAnsi="Courier New" w:cs="Courier New"/>
          <w:sz w:val="25"/>
          <w:szCs w:val="25"/>
          <w:lang w:val="fr-FR"/>
        </w:rPr>
      </w:pPr>
      <w:r w:rsidRPr="00292346">
        <w:rPr>
          <w:rFonts w:ascii="Courier New" w:eastAsia="Times New Roman" w:hAnsi="Courier New" w:cs="Courier New"/>
          <w:sz w:val="25"/>
          <w:szCs w:val="25"/>
          <w:lang w:val="fr-FR"/>
        </w:rPr>
        <w:t xml:space="preserve">contenir de clause moins </w:t>
      </w:r>
    </w:p>
    <w:p w:rsidR="00292346" w:rsidRPr="00292346" w:rsidRDefault="00292346" w:rsidP="00292346">
      <w:pPr>
        <w:spacing w:after="0" w:line="240" w:lineRule="auto"/>
        <w:rPr>
          <w:rFonts w:ascii="Courier New" w:eastAsia="Times New Roman" w:hAnsi="Courier New" w:cs="Courier New"/>
          <w:sz w:val="25"/>
          <w:szCs w:val="25"/>
          <w:lang w:val="fr-FR"/>
        </w:rPr>
      </w:pPr>
      <w:r w:rsidRPr="00292346">
        <w:rPr>
          <w:rFonts w:ascii="Courier New" w:eastAsia="Times New Roman" w:hAnsi="Courier New" w:cs="Courier New"/>
          <w:sz w:val="25"/>
          <w:szCs w:val="25"/>
          <w:lang w:val="fr-FR"/>
        </w:rPr>
        <w:t>favorable, dans ces matières, que la convention, mê</w:t>
      </w:r>
    </w:p>
    <w:p w:rsidR="00292346" w:rsidRPr="00292346" w:rsidRDefault="00292346" w:rsidP="00292346">
      <w:pPr>
        <w:spacing w:after="0" w:line="240" w:lineRule="auto"/>
        <w:rPr>
          <w:rFonts w:ascii="Courier New" w:eastAsia="Times New Roman" w:hAnsi="Courier New" w:cs="Courier New"/>
          <w:sz w:val="25"/>
          <w:szCs w:val="25"/>
          <w:lang w:val="fr-FR"/>
        </w:rPr>
      </w:pPr>
      <w:r w:rsidRPr="00292346">
        <w:rPr>
          <w:rFonts w:ascii="Courier New" w:eastAsia="Times New Roman" w:hAnsi="Courier New" w:cs="Courier New"/>
          <w:sz w:val="25"/>
          <w:szCs w:val="25"/>
          <w:lang w:val="fr-FR"/>
        </w:rPr>
        <w:t xml:space="preserve">me si la convention n'a pas été </w:t>
      </w:r>
    </w:p>
    <w:p w:rsidR="00292346" w:rsidRPr="00292346" w:rsidRDefault="00292346" w:rsidP="00292346">
      <w:pPr>
        <w:spacing w:after="0" w:line="240" w:lineRule="auto"/>
        <w:rPr>
          <w:rFonts w:ascii="Courier New" w:eastAsia="Times New Roman" w:hAnsi="Courier New" w:cs="Courier New"/>
          <w:sz w:val="25"/>
          <w:szCs w:val="25"/>
          <w:lang w:val="fr-FR"/>
        </w:rPr>
      </w:pPr>
      <w:r w:rsidRPr="00292346">
        <w:rPr>
          <w:rFonts w:ascii="Courier New" w:eastAsia="Times New Roman" w:hAnsi="Courier New" w:cs="Courier New"/>
          <w:sz w:val="25"/>
          <w:szCs w:val="25"/>
          <w:lang w:val="fr-FR"/>
        </w:rPr>
        <w:t>étendue. Sur ce dernier point, la loi va au-delà d</w:t>
      </w:r>
    </w:p>
    <w:p w:rsidR="00292346" w:rsidRPr="00292346" w:rsidRDefault="00292346" w:rsidP="00292346">
      <w:pPr>
        <w:spacing w:after="0" w:line="240" w:lineRule="auto"/>
        <w:rPr>
          <w:rFonts w:ascii="Courier New" w:eastAsia="Times New Roman" w:hAnsi="Courier New" w:cs="Courier New"/>
          <w:sz w:val="25"/>
          <w:szCs w:val="25"/>
          <w:lang w:val="fr-FR"/>
        </w:rPr>
      </w:pPr>
      <w:r w:rsidRPr="00292346">
        <w:rPr>
          <w:rFonts w:ascii="Courier New" w:eastAsia="Times New Roman" w:hAnsi="Courier New" w:cs="Courier New"/>
          <w:sz w:val="25"/>
          <w:szCs w:val="25"/>
          <w:lang w:val="fr-FR"/>
        </w:rPr>
        <w:t xml:space="preserve">e la jurisprudence antérieure, </w:t>
      </w:r>
    </w:p>
    <w:p w:rsidR="00292346" w:rsidRPr="00292346" w:rsidRDefault="00292346" w:rsidP="00292346">
      <w:pPr>
        <w:spacing w:after="0" w:line="240" w:lineRule="auto"/>
        <w:rPr>
          <w:rFonts w:ascii="Courier New" w:eastAsia="Times New Roman" w:hAnsi="Courier New" w:cs="Courier New"/>
          <w:sz w:val="25"/>
          <w:szCs w:val="25"/>
          <w:lang w:val="fr-FR"/>
        </w:rPr>
      </w:pPr>
      <w:r w:rsidRPr="00292346">
        <w:rPr>
          <w:rFonts w:ascii="Courier New" w:eastAsia="Times New Roman" w:hAnsi="Courier New" w:cs="Courier New"/>
          <w:sz w:val="25"/>
          <w:szCs w:val="25"/>
          <w:lang w:val="fr-FR"/>
        </w:rPr>
        <w:t>qui n'assimilait aux lois et règlements que les con</w:t>
      </w:r>
    </w:p>
    <w:p w:rsidR="00292346" w:rsidRPr="002F7AAE" w:rsidRDefault="00292346" w:rsidP="00292346">
      <w:pPr>
        <w:spacing w:after="0" w:line="240" w:lineRule="auto"/>
        <w:rPr>
          <w:rFonts w:ascii="Courier New" w:eastAsia="Times New Roman" w:hAnsi="Courier New" w:cs="Courier New"/>
          <w:sz w:val="25"/>
          <w:szCs w:val="25"/>
          <w:lang w:val="fr-FR"/>
        </w:rPr>
      </w:pPr>
      <w:proofErr w:type="gramStart"/>
      <w:r w:rsidRPr="002F7AAE">
        <w:rPr>
          <w:rFonts w:ascii="Courier New" w:eastAsia="Times New Roman" w:hAnsi="Courier New" w:cs="Courier New"/>
          <w:sz w:val="25"/>
          <w:szCs w:val="25"/>
          <w:lang w:val="fr-FR"/>
        </w:rPr>
        <w:t>ventions</w:t>
      </w:r>
      <w:proofErr w:type="gramEnd"/>
      <w:r w:rsidRPr="002F7AAE">
        <w:rPr>
          <w:rFonts w:ascii="Courier New" w:eastAsia="Times New Roman" w:hAnsi="Courier New" w:cs="Courier New"/>
          <w:sz w:val="25"/>
          <w:szCs w:val="25"/>
          <w:lang w:val="fr-FR"/>
        </w:rPr>
        <w:t xml:space="preserve"> étendues. </w:t>
      </w:r>
    </w:p>
    <w:p w:rsidR="00292346" w:rsidRPr="002F7AAE" w:rsidRDefault="00292346" w:rsidP="00E72BB0">
      <w:pPr>
        <w:pStyle w:val="Heading1"/>
        <w:rPr>
          <w:sz w:val="24"/>
          <w:szCs w:val="24"/>
          <w:lang w:val="fr-FR"/>
        </w:rPr>
      </w:pPr>
    </w:p>
    <w:p w:rsidR="00E72BB0" w:rsidRPr="002F7AAE" w:rsidRDefault="00E72BB0" w:rsidP="00B54C55">
      <w:pPr>
        <w:spacing w:before="100" w:beforeAutospacing="1" w:after="100" w:afterAutospacing="1" w:line="240" w:lineRule="auto"/>
        <w:rPr>
          <w:rFonts w:ascii="Times New Roman" w:eastAsia="Times New Roman" w:hAnsi="Times New Roman" w:cs="Times New Roman"/>
          <w:sz w:val="24"/>
          <w:szCs w:val="24"/>
          <w:lang w:val="fr-FR"/>
        </w:rPr>
      </w:pPr>
    </w:p>
    <w:p w:rsidR="002F7AAE" w:rsidRPr="002F7AAE" w:rsidRDefault="002F7AAE" w:rsidP="002F7AAE">
      <w:pPr>
        <w:autoSpaceDE w:val="0"/>
        <w:autoSpaceDN w:val="0"/>
        <w:adjustRightInd w:val="0"/>
        <w:spacing w:after="0" w:line="240" w:lineRule="auto"/>
        <w:rPr>
          <w:rFonts w:ascii="SegoeUI-Bold" w:hAnsi="SegoeUI-Bold" w:cs="SegoeUI-Bold"/>
          <w:b/>
          <w:bCs/>
          <w:sz w:val="24"/>
          <w:szCs w:val="24"/>
          <w:lang w:val="fr-FR"/>
        </w:rPr>
      </w:pPr>
      <w:r w:rsidRPr="002F7AAE">
        <w:rPr>
          <w:rFonts w:ascii="SegoeUI-Bold" w:hAnsi="SegoeUI-Bold" w:cs="SegoeUI-Bold"/>
          <w:b/>
          <w:bCs/>
          <w:sz w:val="24"/>
          <w:szCs w:val="24"/>
          <w:lang w:val="fr-FR"/>
        </w:rPr>
        <w:t>Les dispositions contraires aux lois et règlements</w:t>
      </w:r>
    </w:p>
    <w:p w:rsidR="002F7AAE" w:rsidRPr="002F7AAE" w:rsidRDefault="002F7AAE" w:rsidP="002F7AAE">
      <w:pPr>
        <w:autoSpaceDE w:val="0"/>
        <w:autoSpaceDN w:val="0"/>
        <w:adjustRightInd w:val="0"/>
        <w:spacing w:after="0" w:line="240" w:lineRule="auto"/>
        <w:rPr>
          <w:rFonts w:ascii="SegoeUI" w:hAnsi="SegoeUI" w:cs="SegoeUI"/>
          <w:sz w:val="24"/>
          <w:szCs w:val="24"/>
          <w:lang w:val="fr-FR"/>
        </w:rPr>
      </w:pPr>
      <w:r w:rsidRPr="002F7AAE">
        <w:rPr>
          <w:rFonts w:ascii="SegoeUI" w:hAnsi="SegoeUI" w:cs="SegoeUI"/>
          <w:sz w:val="24"/>
          <w:szCs w:val="24"/>
          <w:lang w:val="fr-FR"/>
        </w:rPr>
        <w:t>Le règlement intérieur ne doit pas contenir de dispositions contraires au droit du travail, ainsi qu’aux autres branches du</w:t>
      </w:r>
    </w:p>
    <w:p w:rsidR="00B54C55" w:rsidRPr="002F7AAE" w:rsidRDefault="002F7AAE" w:rsidP="002F7AAE">
      <w:pPr>
        <w:pStyle w:val="chapo"/>
        <w:rPr>
          <w:lang w:val="fr-FR"/>
        </w:rPr>
      </w:pPr>
      <w:proofErr w:type="gramStart"/>
      <w:r w:rsidRPr="002F7AAE">
        <w:rPr>
          <w:rFonts w:ascii="SegoeUI" w:hAnsi="SegoeUI" w:cs="SegoeUI"/>
          <w:lang w:val="fr-FR"/>
        </w:rPr>
        <w:t>droit</w:t>
      </w:r>
      <w:proofErr w:type="gramEnd"/>
      <w:r w:rsidRPr="002F7AAE">
        <w:rPr>
          <w:rFonts w:ascii="SegoeUI" w:hAnsi="SegoeUI" w:cs="SegoeUI"/>
          <w:lang w:val="fr-FR"/>
        </w:rPr>
        <w:t xml:space="preserve"> (droit civil, droit pénal, droit commercial, etc.) et aux règles communautaires et internationales applicables.</w:t>
      </w:r>
    </w:p>
    <w:p w:rsidR="00E378CF" w:rsidRDefault="00E378CF" w:rsidP="00E563AA">
      <w:pPr>
        <w:pStyle w:val="chapo"/>
        <w:rPr>
          <w:lang w:val="fr-FR"/>
        </w:rPr>
      </w:pPr>
    </w:p>
    <w:p w:rsidR="002F7AAE" w:rsidRPr="002F7AAE" w:rsidRDefault="002F7AAE" w:rsidP="00E563AA">
      <w:pPr>
        <w:pStyle w:val="chapo"/>
        <w:rPr>
          <w:lang w:val="fr-FR"/>
        </w:rPr>
      </w:pPr>
      <w:r>
        <w:rPr>
          <w:noProof/>
        </w:rPr>
        <w:drawing>
          <wp:inline distT="0" distB="0" distL="0" distR="0">
            <wp:extent cx="5943600" cy="17760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CBE9D.tmp"/>
                    <pic:cNvPicPr/>
                  </pic:nvPicPr>
                  <pic:blipFill>
                    <a:blip r:embed="rId30">
                      <a:extLst>
                        <a:ext uri="{28A0092B-C50C-407E-A947-70E740481C1C}">
                          <a14:useLocalDpi xmlns:a14="http://schemas.microsoft.com/office/drawing/2010/main" val="0"/>
                        </a:ext>
                      </a:extLst>
                    </a:blip>
                    <a:stretch>
                      <a:fillRect/>
                    </a:stretch>
                  </pic:blipFill>
                  <pic:spPr>
                    <a:xfrm>
                      <a:off x="0" y="0"/>
                      <a:ext cx="5943600" cy="1776095"/>
                    </a:xfrm>
                    <a:prstGeom prst="rect">
                      <a:avLst/>
                    </a:prstGeom>
                  </pic:spPr>
                </pic:pic>
              </a:graphicData>
            </a:graphic>
          </wp:inline>
        </w:drawing>
      </w:r>
    </w:p>
    <w:p w:rsidR="00E378CF" w:rsidRDefault="00E378CF" w:rsidP="00E563AA">
      <w:pPr>
        <w:pStyle w:val="chapo"/>
        <w:rPr>
          <w:lang w:val="fr-FR"/>
        </w:rPr>
      </w:pPr>
    </w:p>
    <w:p w:rsidR="002F7AAE" w:rsidRPr="002F7AAE" w:rsidRDefault="002F7AAE" w:rsidP="00E563AA">
      <w:pPr>
        <w:pStyle w:val="chapo"/>
        <w:rPr>
          <w:lang w:val="fr-FR"/>
        </w:rPr>
      </w:pPr>
      <w:r>
        <w:rPr>
          <w:noProof/>
        </w:rPr>
        <w:lastRenderedPageBreak/>
        <w:drawing>
          <wp:inline distT="0" distB="0" distL="0" distR="0">
            <wp:extent cx="5943600" cy="2967355"/>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CD154.tmp"/>
                    <pic:cNvPicPr/>
                  </pic:nvPicPr>
                  <pic:blipFill>
                    <a:blip r:embed="rId31">
                      <a:extLst>
                        <a:ext uri="{28A0092B-C50C-407E-A947-70E740481C1C}">
                          <a14:useLocalDpi xmlns:a14="http://schemas.microsoft.com/office/drawing/2010/main" val="0"/>
                        </a:ext>
                      </a:extLst>
                    </a:blip>
                    <a:stretch>
                      <a:fillRect/>
                    </a:stretch>
                  </pic:blipFill>
                  <pic:spPr>
                    <a:xfrm>
                      <a:off x="0" y="0"/>
                      <a:ext cx="5943600" cy="2967355"/>
                    </a:xfrm>
                    <a:prstGeom prst="rect">
                      <a:avLst/>
                    </a:prstGeom>
                  </pic:spPr>
                </pic:pic>
              </a:graphicData>
            </a:graphic>
          </wp:inline>
        </w:drawing>
      </w:r>
    </w:p>
    <w:p w:rsidR="00E378CF" w:rsidRDefault="00E378CF" w:rsidP="00E563AA">
      <w:pPr>
        <w:pStyle w:val="chapo"/>
        <w:rPr>
          <w:lang w:val="fr-FR"/>
        </w:rPr>
      </w:pPr>
    </w:p>
    <w:p w:rsidR="002F7AAE" w:rsidRDefault="002F7AAE" w:rsidP="00E563AA">
      <w:pPr>
        <w:pStyle w:val="chapo"/>
        <w:rPr>
          <w:lang w:val="fr-FR"/>
        </w:rPr>
      </w:pPr>
      <w:r>
        <w:rPr>
          <w:noProof/>
        </w:rPr>
        <w:drawing>
          <wp:inline distT="0" distB="0" distL="0" distR="0">
            <wp:extent cx="5943600" cy="19132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CAE2B.tmp"/>
                    <pic:cNvPicPr/>
                  </pic:nvPicPr>
                  <pic:blipFill>
                    <a:blip r:embed="rId32">
                      <a:extLst>
                        <a:ext uri="{28A0092B-C50C-407E-A947-70E740481C1C}">
                          <a14:useLocalDpi xmlns:a14="http://schemas.microsoft.com/office/drawing/2010/main" val="0"/>
                        </a:ext>
                      </a:extLst>
                    </a:blip>
                    <a:stretch>
                      <a:fillRect/>
                    </a:stretch>
                  </pic:blipFill>
                  <pic:spPr>
                    <a:xfrm>
                      <a:off x="0" y="0"/>
                      <a:ext cx="5943600" cy="1913255"/>
                    </a:xfrm>
                    <a:prstGeom prst="rect">
                      <a:avLst/>
                    </a:prstGeom>
                  </pic:spPr>
                </pic:pic>
              </a:graphicData>
            </a:graphic>
          </wp:inline>
        </w:drawing>
      </w:r>
    </w:p>
    <w:p w:rsidR="002F7AAE" w:rsidRDefault="002F7AAE" w:rsidP="00E563AA">
      <w:pPr>
        <w:pStyle w:val="chapo"/>
        <w:rPr>
          <w:lang w:val="fr-FR"/>
        </w:rPr>
      </w:pPr>
    </w:p>
    <w:p w:rsidR="002F7AAE" w:rsidRPr="002F7AAE" w:rsidRDefault="002F7AAE" w:rsidP="00E563AA">
      <w:pPr>
        <w:pStyle w:val="chapo"/>
        <w:rPr>
          <w:lang w:val="fr-FR"/>
        </w:rPr>
      </w:pPr>
      <w:r>
        <w:rPr>
          <w:noProof/>
        </w:rPr>
        <w:drawing>
          <wp:inline distT="0" distB="0" distL="0" distR="0">
            <wp:extent cx="5943600" cy="118554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C2455.tmp"/>
                    <pic:cNvPicPr/>
                  </pic:nvPicPr>
                  <pic:blipFill>
                    <a:blip r:embed="rId33">
                      <a:extLst>
                        <a:ext uri="{28A0092B-C50C-407E-A947-70E740481C1C}">
                          <a14:useLocalDpi xmlns:a14="http://schemas.microsoft.com/office/drawing/2010/main" val="0"/>
                        </a:ext>
                      </a:extLst>
                    </a:blip>
                    <a:stretch>
                      <a:fillRect/>
                    </a:stretch>
                  </pic:blipFill>
                  <pic:spPr>
                    <a:xfrm>
                      <a:off x="0" y="0"/>
                      <a:ext cx="5943600" cy="1185545"/>
                    </a:xfrm>
                    <a:prstGeom prst="rect">
                      <a:avLst/>
                    </a:prstGeom>
                  </pic:spPr>
                </pic:pic>
              </a:graphicData>
            </a:graphic>
          </wp:inline>
        </w:drawing>
      </w:r>
    </w:p>
    <w:p w:rsidR="002F7AAE" w:rsidRPr="002F7AAE" w:rsidRDefault="002F7AAE" w:rsidP="002F7AAE">
      <w:pPr>
        <w:autoSpaceDE w:val="0"/>
        <w:autoSpaceDN w:val="0"/>
        <w:adjustRightInd w:val="0"/>
        <w:spacing w:after="0" w:line="240" w:lineRule="auto"/>
        <w:rPr>
          <w:rFonts w:ascii="SegoeUI" w:hAnsi="SegoeUI" w:cs="SegoeUI"/>
          <w:color w:val="FF0000"/>
          <w:sz w:val="24"/>
          <w:szCs w:val="24"/>
          <w:lang w:val="fr-FR"/>
        </w:rPr>
      </w:pPr>
      <w:proofErr w:type="gramStart"/>
      <w:r w:rsidRPr="002F7AAE">
        <w:rPr>
          <w:rFonts w:ascii="SegoeUI" w:hAnsi="SegoeUI" w:cs="SegoeUI"/>
          <w:color w:val="FF0000"/>
          <w:sz w:val="24"/>
          <w:szCs w:val="24"/>
          <w:lang w:val="fr-FR"/>
        </w:rPr>
        <w:t>l’obligation</w:t>
      </w:r>
      <w:proofErr w:type="gramEnd"/>
      <w:r w:rsidRPr="002F7AAE">
        <w:rPr>
          <w:rFonts w:ascii="SegoeUI" w:hAnsi="SegoeUI" w:cs="SegoeUI"/>
          <w:color w:val="FF0000"/>
          <w:sz w:val="24"/>
          <w:szCs w:val="24"/>
          <w:lang w:val="fr-FR"/>
        </w:rPr>
        <w:t xml:space="preserve"> de tenir la direction informée des changements pouvant intervenir dans leur situation individuelle et</w:t>
      </w:r>
    </w:p>
    <w:p w:rsidR="00E378CF" w:rsidRDefault="002F7AAE" w:rsidP="002F7AAE">
      <w:pPr>
        <w:pStyle w:val="chapo"/>
        <w:rPr>
          <w:rFonts w:ascii="SegoeUI" w:hAnsi="SegoeUI" w:cs="SegoeUI"/>
          <w:color w:val="FF0000"/>
        </w:rPr>
      </w:pPr>
      <w:proofErr w:type="spellStart"/>
      <w:proofErr w:type="gramStart"/>
      <w:r w:rsidRPr="002F7AAE">
        <w:rPr>
          <w:rFonts w:ascii="SegoeUI" w:hAnsi="SegoeUI" w:cs="SegoeUI"/>
          <w:color w:val="FF0000"/>
        </w:rPr>
        <w:t>familiale</w:t>
      </w:r>
      <w:proofErr w:type="spellEnd"/>
      <w:r w:rsidRPr="002F7AAE">
        <w:rPr>
          <w:rFonts w:ascii="SegoeUI" w:hAnsi="SegoeUI" w:cs="SegoeUI"/>
          <w:color w:val="FF0000"/>
        </w:rPr>
        <w:t xml:space="preserve"> ;</w:t>
      </w:r>
      <w:proofErr w:type="gramEnd"/>
    </w:p>
    <w:p w:rsidR="002F7AAE" w:rsidRDefault="002F7AAE" w:rsidP="002F7AAE">
      <w:pPr>
        <w:pStyle w:val="chapo"/>
        <w:rPr>
          <w:rFonts w:ascii="SegoeUI" w:hAnsi="SegoeUI" w:cs="SegoeUI"/>
          <w:color w:val="FF0000"/>
        </w:rPr>
      </w:pPr>
    </w:p>
    <w:p w:rsidR="002F7AAE" w:rsidRDefault="002F7AAE" w:rsidP="002F7AAE">
      <w:pPr>
        <w:pStyle w:val="chapo"/>
        <w:rPr>
          <w:color w:val="FF0000"/>
          <w:lang w:val="fr-FR"/>
        </w:rPr>
      </w:pPr>
      <w:r>
        <w:rPr>
          <w:noProof/>
          <w:color w:val="FF0000"/>
        </w:rPr>
        <w:drawing>
          <wp:inline distT="0" distB="0" distL="0" distR="0">
            <wp:extent cx="5943600" cy="95758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C76E8.tmp"/>
                    <pic:cNvPicPr/>
                  </pic:nvPicPr>
                  <pic:blipFill>
                    <a:blip r:embed="rId34">
                      <a:extLst>
                        <a:ext uri="{28A0092B-C50C-407E-A947-70E740481C1C}">
                          <a14:useLocalDpi xmlns:a14="http://schemas.microsoft.com/office/drawing/2010/main" val="0"/>
                        </a:ext>
                      </a:extLst>
                    </a:blip>
                    <a:stretch>
                      <a:fillRect/>
                    </a:stretch>
                  </pic:blipFill>
                  <pic:spPr>
                    <a:xfrm>
                      <a:off x="0" y="0"/>
                      <a:ext cx="5943600" cy="957580"/>
                    </a:xfrm>
                    <a:prstGeom prst="rect">
                      <a:avLst/>
                    </a:prstGeom>
                  </pic:spPr>
                </pic:pic>
              </a:graphicData>
            </a:graphic>
          </wp:inline>
        </w:drawing>
      </w:r>
    </w:p>
    <w:p w:rsidR="002F7AAE" w:rsidRPr="002122B3" w:rsidRDefault="002122B3" w:rsidP="002F7AAE">
      <w:pPr>
        <w:pStyle w:val="chapo"/>
        <w:rPr>
          <w:color w:val="FF0000"/>
          <w:lang w:val="fr-FR"/>
        </w:rPr>
      </w:pPr>
      <w:r w:rsidRPr="002122B3">
        <w:rPr>
          <w:lang w:val="fr-FR"/>
        </w:rPr>
        <w:t>Il est rappelé que le temps consacré à la pause, bien que rémunéré comme temps de travail, ne constitue pas un temps de travail effectif" ;</w:t>
      </w:r>
    </w:p>
    <w:p w:rsidR="002F7AAE" w:rsidRDefault="002F7AAE" w:rsidP="002F7AAE">
      <w:pPr>
        <w:pStyle w:val="chapo"/>
        <w:rPr>
          <w:color w:val="FF0000"/>
          <w:lang w:val="fr-FR"/>
        </w:rPr>
      </w:pPr>
      <w:r>
        <w:rPr>
          <w:noProof/>
          <w:color w:val="FF0000"/>
        </w:rPr>
        <w:drawing>
          <wp:inline distT="0" distB="0" distL="0" distR="0">
            <wp:extent cx="5943600" cy="929640"/>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C627F.tmp"/>
                    <pic:cNvPicPr/>
                  </pic:nvPicPr>
                  <pic:blipFill>
                    <a:blip r:embed="rId35">
                      <a:extLst>
                        <a:ext uri="{28A0092B-C50C-407E-A947-70E740481C1C}">
                          <a14:useLocalDpi xmlns:a14="http://schemas.microsoft.com/office/drawing/2010/main" val="0"/>
                        </a:ext>
                      </a:extLst>
                    </a:blip>
                    <a:stretch>
                      <a:fillRect/>
                    </a:stretch>
                  </pic:blipFill>
                  <pic:spPr>
                    <a:xfrm>
                      <a:off x="0" y="0"/>
                      <a:ext cx="5943600" cy="929640"/>
                    </a:xfrm>
                    <a:prstGeom prst="rect">
                      <a:avLst/>
                    </a:prstGeom>
                  </pic:spPr>
                </pic:pic>
              </a:graphicData>
            </a:graphic>
          </wp:inline>
        </w:drawing>
      </w:r>
    </w:p>
    <w:p w:rsidR="002F7AAE" w:rsidRDefault="002F7AAE" w:rsidP="002F7AAE">
      <w:pPr>
        <w:pStyle w:val="chapo"/>
        <w:rPr>
          <w:color w:val="FF0000"/>
          <w:lang w:val="fr-FR"/>
        </w:rPr>
      </w:pPr>
    </w:p>
    <w:p w:rsidR="002122B3" w:rsidRDefault="002122B3" w:rsidP="002F7AAE">
      <w:pPr>
        <w:pStyle w:val="chapo"/>
        <w:rPr>
          <w:color w:val="FF0000"/>
          <w:lang w:val="fr-FR"/>
        </w:rPr>
      </w:pPr>
    </w:p>
    <w:p w:rsidR="002F7AAE" w:rsidRPr="002F7AAE" w:rsidRDefault="002F7AAE" w:rsidP="002F7AAE">
      <w:pPr>
        <w:pStyle w:val="chapo"/>
        <w:rPr>
          <w:color w:val="FF0000"/>
          <w:lang w:val="fr-FR"/>
        </w:rPr>
      </w:pPr>
      <w:r>
        <w:rPr>
          <w:noProof/>
          <w:color w:val="FF0000"/>
        </w:rPr>
        <w:drawing>
          <wp:inline distT="0" distB="0" distL="0" distR="0">
            <wp:extent cx="5943600" cy="396684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CAD65.tmp"/>
                    <pic:cNvPicPr/>
                  </pic:nvPicPr>
                  <pic:blipFill>
                    <a:blip r:embed="rId36">
                      <a:extLst>
                        <a:ext uri="{28A0092B-C50C-407E-A947-70E740481C1C}">
                          <a14:useLocalDpi xmlns:a14="http://schemas.microsoft.com/office/drawing/2010/main" val="0"/>
                        </a:ext>
                      </a:extLst>
                    </a:blip>
                    <a:stretch>
                      <a:fillRect/>
                    </a:stretch>
                  </pic:blipFill>
                  <pic:spPr>
                    <a:xfrm>
                      <a:off x="0" y="0"/>
                      <a:ext cx="5943600" cy="3966845"/>
                    </a:xfrm>
                    <a:prstGeom prst="rect">
                      <a:avLst/>
                    </a:prstGeom>
                  </pic:spPr>
                </pic:pic>
              </a:graphicData>
            </a:graphic>
          </wp:inline>
        </w:drawing>
      </w:r>
    </w:p>
    <w:p w:rsidR="00E563AA" w:rsidRDefault="002122B3">
      <w:pPr>
        <w:rPr>
          <w:b/>
          <w:sz w:val="24"/>
          <w:szCs w:val="24"/>
          <w:lang w:val="fr-FR"/>
        </w:rPr>
      </w:pPr>
      <w:hyperlink r:id="rId37" w:history="1">
        <w:r w:rsidRPr="008C4434">
          <w:rPr>
            <w:rStyle w:val="Hyperlink"/>
            <w:b/>
            <w:sz w:val="24"/>
            <w:szCs w:val="24"/>
            <w:lang w:val="fr-FR"/>
          </w:rPr>
          <w:t>http://www.wk-rh.fr/preview/BeDhHlCfJnJmFjHkGjOs/editionXHTML/lgpco/710-10_-_elaborer_son_reglement_interieur_-_preparer_la_decision/710-10_-_elaborer_son_reglement_interieur_-_preparer_la_decision</w:t>
        </w:r>
      </w:hyperlink>
    </w:p>
    <w:p w:rsidR="002122B3" w:rsidRDefault="009145E2">
      <w:pPr>
        <w:rPr>
          <w:b/>
          <w:sz w:val="24"/>
          <w:szCs w:val="24"/>
          <w:lang w:val="fr-FR"/>
        </w:rPr>
      </w:pPr>
      <w:r>
        <w:rPr>
          <w:b/>
          <w:sz w:val="24"/>
          <w:szCs w:val="24"/>
          <w:lang w:val="fr-FR"/>
        </w:rPr>
        <w:t xml:space="preserve">Ne doit pas </w:t>
      </w:r>
      <w:proofErr w:type="spellStart"/>
      <w:r>
        <w:rPr>
          <w:b/>
          <w:sz w:val="24"/>
          <w:szCs w:val="24"/>
          <w:lang w:val="fr-FR"/>
        </w:rPr>
        <w:t>figuer</w:t>
      </w:r>
      <w:proofErr w:type="spellEnd"/>
      <w:r>
        <w:rPr>
          <w:b/>
          <w:sz w:val="24"/>
          <w:szCs w:val="24"/>
          <w:lang w:val="fr-FR"/>
        </w:rPr>
        <w:t xml:space="preserve"> dans le règlement intérieur</w:t>
      </w:r>
    </w:p>
    <w:p w:rsidR="002122B3" w:rsidRPr="002122B3" w:rsidRDefault="002122B3">
      <w:pPr>
        <w:rPr>
          <w:b/>
          <w:sz w:val="24"/>
          <w:szCs w:val="24"/>
          <w:lang w:val="fr-FR"/>
        </w:rPr>
      </w:pPr>
      <w:proofErr w:type="gramStart"/>
      <w:r w:rsidRPr="002122B3">
        <w:rPr>
          <w:lang w:val="fr-FR"/>
        </w:rPr>
        <w:t>une</w:t>
      </w:r>
      <w:proofErr w:type="gramEnd"/>
      <w:r w:rsidRPr="002122B3">
        <w:rPr>
          <w:lang w:val="fr-FR"/>
        </w:rPr>
        <w:t xml:space="preserve"> </w:t>
      </w:r>
      <w:bookmarkStart w:id="0" w:name="_GoBack"/>
      <w:r w:rsidRPr="002122B3">
        <w:rPr>
          <w:lang w:val="fr-FR"/>
        </w:rPr>
        <w:t xml:space="preserve">clause spécifiant que chaque salarié est responsable de sa sécurité personnelle </w:t>
      </w:r>
      <w:bookmarkEnd w:id="0"/>
      <w:r w:rsidRPr="002122B3">
        <w:rPr>
          <w:lang w:val="fr-FR"/>
        </w:rPr>
        <w:t>et doit également par son comportement préserver celle des autres (</w:t>
      </w:r>
      <w:r w:rsidRPr="002122B3">
        <w:rPr>
          <w:b/>
          <w:bCs/>
          <w:lang w:val="fr-FR"/>
        </w:rPr>
        <w:t>53</w:t>
      </w:r>
      <w:r w:rsidRPr="002122B3">
        <w:rPr>
          <w:lang w:val="fr-FR"/>
        </w:rPr>
        <w:t>).</w:t>
      </w:r>
    </w:p>
    <w:sectPr w:rsidR="002122B3" w:rsidRPr="002122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UI-Bold">
    <w:panose1 w:val="00000000000000000000"/>
    <w:charset w:val="00"/>
    <w:family w:val="swiss"/>
    <w:notTrueType/>
    <w:pitch w:val="default"/>
    <w:sig w:usb0="00000003" w:usb1="00000000" w:usb2="00000000" w:usb3="00000000" w:csb0="00000001" w:csb1="00000000"/>
  </w:font>
  <w:font w:name="SegoeU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8B1DD1"/>
    <w:multiLevelType w:val="multilevel"/>
    <w:tmpl w:val="40F44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EC43FD"/>
    <w:multiLevelType w:val="multilevel"/>
    <w:tmpl w:val="EA987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E87573"/>
    <w:multiLevelType w:val="multilevel"/>
    <w:tmpl w:val="28722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60D"/>
    <w:rsid w:val="00085810"/>
    <w:rsid w:val="0015655F"/>
    <w:rsid w:val="002122B3"/>
    <w:rsid w:val="00287D4F"/>
    <w:rsid w:val="00292346"/>
    <w:rsid w:val="002F7AAE"/>
    <w:rsid w:val="00464065"/>
    <w:rsid w:val="009145E2"/>
    <w:rsid w:val="00974342"/>
    <w:rsid w:val="00A86869"/>
    <w:rsid w:val="00B32F5B"/>
    <w:rsid w:val="00B54C55"/>
    <w:rsid w:val="00BF6843"/>
    <w:rsid w:val="00DD213E"/>
    <w:rsid w:val="00E378CF"/>
    <w:rsid w:val="00E563AA"/>
    <w:rsid w:val="00E72BB0"/>
    <w:rsid w:val="00EB360D"/>
    <w:rsid w:val="00F27B29"/>
    <w:rsid w:val="00FE4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563A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E72BB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54C5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B36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B360D"/>
    <w:rPr>
      <w:b/>
      <w:bCs/>
    </w:rPr>
  </w:style>
  <w:style w:type="paragraph" w:styleId="BalloonText">
    <w:name w:val="Balloon Text"/>
    <w:basedOn w:val="Normal"/>
    <w:link w:val="BalloonTextChar"/>
    <w:uiPriority w:val="99"/>
    <w:semiHidden/>
    <w:unhideWhenUsed/>
    <w:rsid w:val="00EB36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360D"/>
    <w:rPr>
      <w:rFonts w:ascii="Tahoma" w:hAnsi="Tahoma" w:cs="Tahoma"/>
      <w:sz w:val="16"/>
      <w:szCs w:val="16"/>
    </w:rPr>
  </w:style>
  <w:style w:type="character" w:styleId="Emphasis">
    <w:name w:val="Emphasis"/>
    <w:basedOn w:val="DefaultParagraphFont"/>
    <w:uiPriority w:val="20"/>
    <w:qFormat/>
    <w:rsid w:val="00EB360D"/>
    <w:rPr>
      <w:i/>
      <w:iCs/>
    </w:rPr>
  </w:style>
  <w:style w:type="character" w:customStyle="1" w:styleId="Heading1Char">
    <w:name w:val="Heading 1 Char"/>
    <w:basedOn w:val="DefaultParagraphFont"/>
    <w:link w:val="Heading1"/>
    <w:uiPriority w:val="9"/>
    <w:rsid w:val="00E563AA"/>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E563AA"/>
    <w:rPr>
      <w:color w:val="0000FF"/>
      <w:u w:val="single"/>
    </w:rPr>
  </w:style>
  <w:style w:type="paragraph" w:customStyle="1" w:styleId="chapo">
    <w:name w:val="chapo"/>
    <w:basedOn w:val="Normal"/>
    <w:rsid w:val="00E563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Normal"/>
    <w:rsid w:val="00E378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B54C55"/>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semiHidden/>
    <w:rsid w:val="00E72BB0"/>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563A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E72BB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54C5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B36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B360D"/>
    <w:rPr>
      <w:b/>
      <w:bCs/>
    </w:rPr>
  </w:style>
  <w:style w:type="paragraph" w:styleId="BalloonText">
    <w:name w:val="Balloon Text"/>
    <w:basedOn w:val="Normal"/>
    <w:link w:val="BalloonTextChar"/>
    <w:uiPriority w:val="99"/>
    <w:semiHidden/>
    <w:unhideWhenUsed/>
    <w:rsid w:val="00EB36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360D"/>
    <w:rPr>
      <w:rFonts w:ascii="Tahoma" w:hAnsi="Tahoma" w:cs="Tahoma"/>
      <w:sz w:val="16"/>
      <w:szCs w:val="16"/>
    </w:rPr>
  </w:style>
  <w:style w:type="character" w:styleId="Emphasis">
    <w:name w:val="Emphasis"/>
    <w:basedOn w:val="DefaultParagraphFont"/>
    <w:uiPriority w:val="20"/>
    <w:qFormat/>
    <w:rsid w:val="00EB360D"/>
    <w:rPr>
      <w:i/>
      <w:iCs/>
    </w:rPr>
  </w:style>
  <w:style w:type="character" w:customStyle="1" w:styleId="Heading1Char">
    <w:name w:val="Heading 1 Char"/>
    <w:basedOn w:val="DefaultParagraphFont"/>
    <w:link w:val="Heading1"/>
    <w:uiPriority w:val="9"/>
    <w:rsid w:val="00E563AA"/>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E563AA"/>
    <w:rPr>
      <w:color w:val="0000FF"/>
      <w:u w:val="single"/>
    </w:rPr>
  </w:style>
  <w:style w:type="paragraph" w:customStyle="1" w:styleId="chapo">
    <w:name w:val="chapo"/>
    <w:basedOn w:val="Normal"/>
    <w:rsid w:val="00E563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Normal"/>
    <w:rsid w:val="00E378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B54C55"/>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semiHidden/>
    <w:rsid w:val="00E72BB0"/>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619489">
      <w:bodyDiv w:val="1"/>
      <w:marLeft w:val="0"/>
      <w:marRight w:val="0"/>
      <w:marTop w:val="0"/>
      <w:marBottom w:val="0"/>
      <w:divBdr>
        <w:top w:val="none" w:sz="0" w:space="0" w:color="auto"/>
        <w:left w:val="none" w:sz="0" w:space="0" w:color="auto"/>
        <w:bottom w:val="none" w:sz="0" w:space="0" w:color="auto"/>
        <w:right w:val="none" w:sz="0" w:space="0" w:color="auto"/>
      </w:divBdr>
      <w:divsChild>
        <w:div w:id="14524336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11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2542612">
      <w:bodyDiv w:val="1"/>
      <w:marLeft w:val="0"/>
      <w:marRight w:val="0"/>
      <w:marTop w:val="0"/>
      <w:marBottom w:val="0"/>
      <w:divBdr>
        <w:top w:val="none" w:sz="0" w:space="0" w:color="auto"/>
        <w:left w:val="none" w:sz="0" w:space="0" w:color="auto"/>
        <w:bottom w:val="none" w:sz="0" w:space="0" w:color="auto"/>
        <w:right w:val="none" w:sz="0" w:space="0" w:color="auto"/>
      </w:divBdr>
      <w:divsChild>
        <w:div w:id="1755081292">
          <w:marLeft w:val="0"/>
          <w:marRight w:val="0"/>
          <w:marTop w:val="0"/>
          <w:marBottom w:val="0"/>
          <w:divBdr>
            <w:top w:val="none" w:sz="0" w:space="0" w:color="auto"/>
            <w:left w:val="none" w:sz="0" w:space="0" w:color="auto"/>
            <w:bottom w:val="none" w:sz="0" w:space="0" w:color="auto"/>
            <w:right w:val="none" w:sz="0" w:space="0" w:color="auto"/>
          </w:divBdr>
        </w:div>
      </w:divsChild>
    </w:div>
    <w:div w:id="351952502">
      <w:bodyDiv w:val="1"/>
      <w:marLeft w:val="0"/>
      <w:marRight w:val="0"/>
      <w:marTop w:val="0"/>
      <w:marBottom w:val="0"/>
      <w:divBdr>
        <w:top w:val="none" w:sz="0" w:space="0" w:color="auto"/>
        <w:left w:val="none" w:sz="0" w:space="0" w:color="auto"/>
        <w:bottom w:val="none" w:sz="0" w:space="0" w:color="auto"/>
        <w:right w:val="none" w:sz="0" w:space="0" w:color="auto"/>
      </w:divBdr>
    </w:div>
    <w:div w:id="493226009">
      <w:bodyDiv w:val="1"/>
      <w:marLeft w:val="0"/>
      <w:marRight w:val="0"/>
      <w:marTop w:val="0"/>
      <w:marBottom w:val="0"/>
      <w:divBdr>
        <w:top w:val="none" w:sz="0" w:space="0" w:color="auto"/>
        <w:left w:val="none" w:sz="0" w:space="0" w:color="auto"/>
        <w:bottom w:val="none" w:sz="0" w:space="0" w:color="auto"/>
        <w:right w:val="none" w:sz="0" w:space="0" w:color="auto"/>
      </w:divBdr>
    </w:div>
    <w:div w:id="603071466">
      <w:bodyDiv w:val="1"/>
      <w:marLeft w:val="0"/>
      <w:marRight w:val="0"/>
      <w:marTop w:val="0"/>
      <w:marBottom w:val="0"/>
      <w:divBdr>
        <w:top w:val="none" w:sz="0" w:space="0" w:color="auto"/>
        <w:left w:val="none" w:sz="0" w:space="0" w:color="auto"/>
        <w:bottom w:val="none" w:sz="0" w:space="0" w:color="auto"/>
        <w:right w:val="none" w:sz="0" w:space="0" w:color="auto"/>
      </w:divBdr>
    </w:div>
    <w:div w:id="672344443">
      <w:bodyDiv w:val="1"/>
      <w:marLeft w:val="0"/>
      <w:marRight w:val="0"/>
      <w:marTop w:val="0"/>
      <w:marBottom w:val="0"/>
      <w:divBdr>
        <w:top w:val="none" w:sz="0" w:space="0" w:color="auto"/>
        <w:left w:val="none" w:sz="0" w:space="0" w:color="auto"/>
        <w:bottom w:val="none" w:sz="0" w:space="0" w:color="auto"/>
        <w:right w:val="none" w:sz="0" w:space="0" w:color="auto"/>
      </w:divBdr>
    </w:div>
    <w:div w:id="775173260">
      <w:bodyDiv w:val="1"/>
      <w:marLeft w:val="0"/>
      <w:marRight w:val="0"/>
      <w:marTop w:val="0"/>
      <w:marBottom w:val="0"/>
      <w:divBdr>
        <w:top w:val="none" w:sz="0" w:space="0" w:color="auto"/>
        <w:left w:val="none" w:sz="0" w:space="0" w:color="auto"/>
        <w:bottom w:val="none" w:sz="0" w:space="0" w:color="auto"/>
        <w:right w:val="none" w:sz="0" w:space="0" w:color="auto"/>
      </w:divBdr>
      <w:divsChild>
        <w:div w:id="379979881">
          <w:marLeft w:val="0"/>
          <w:marRight w:val="0"/>
          <w:marTop w:val="0"/>
          <w:marBottom w:val="0"/>
          <w:divBdr>
            <w:top w:val="none" w:sz="0" w:space="0" w:color="auto"/>
            <w:left w:val="none" w:sz="0" w:space="0" w:color="auto"/>
            <w:bottom w:val="none" w:sz="0" w:space="0" w:color="auto"/>
            <w:right w:val="none" w:sz="0" w:space="0" w:color="auto"/>
          </w:divBdr>
        </w:div>
      </w:divsChild>
    </w:div>
    <w:div w:id="847019155">
      <w:bodyDiv w:val="1"/>
      <w:marLeft w:val="0"/>
      <w:marRight w:val="0"/>
      <w:marTop w:val="0"/>
      <w:marBottom w:val="0"/>
      <w:divBdr>
        <w:top w:val="none" w:sz="0" w:space="0" w:color="auto"/>
        <w:left w:val="none" w:sz="0" w:space="0" w:color="auto"/>
        <w:bottom w:val="none" w:sz="0" w:space="0" w:color="auto"/>
        <w:right w:val="none" w:sz="0" w:space="0" w:color="auto"/>
      </w:divBdr>
    </w:div>
    <w:div w:id="1149983757">
      <w:bodyDiv w:val="1"/>
      <w:marLeft w:val="0"/>
      <w:marRight w:val="0"/>
      <w:marTop w:val="0"/>
      <w:marBottom w:val="0"/>
      <w:divBdr>
        <w:top w:val="none" w:sz="0" w:space="0" w:color="auto"/>
        <w:left w:val="none" w:sz="0" w:space="0" w:color="auto"/>
        <w:bottom w:val="none" w:sz="0" w:space="0" w:color="auto"/>
        <w:right w:val="none" w:sz="0" w:space="0" w:color="auto"/>
      </w:divBdr>
      <w:divsChild>
        <w:div w:id="750200000">
          <w:marLeft w:val="0"/>
          <w:marRight w:val="0"/>
          <w:marTop w:val="0"/>
          <w:marBottom w:val="0"/>
          <w:divBdr>
            <w:top w:val="none" w:sz="0" w:space="0" w:color="auto"/>
            <w:left w:val="none" w:sz="0" w:space="0" w:color="auto"/>
            <w:bottom w:val="none" w:sz="0" w:space="0" w:color="auto"/>
            <w:right w:val="none" w:sz="0" w:space="0" w:color="auto"/>
          </w:divBdr>
        </w:div>
        <w:div w:id="1958637993">
          <w:marLeft w:val="0"/>
          <w:marRight w:val="0"/>
          <w:marTop w:val="0"/>
          <w:marBottom w:val="0"/>
          <w:divBdr>
            <w:top w:val="none" w:sz="0" w:space="0" w:color="auto"/>
            <w:left w:val="none" w:sz="0" w:space="0" w:color="auto"/>
            <w:bottom w:val="none" w:sz="0" w:space="0" w:color="auto"/>
            <w:right w:val="none" w:sz="0" w:space="0" w:color="auto"/>
          </w:divBdr>
        </w:div>
        <w:div w:id="108210944">
          <w:marLeft w:val="0"/>
          <w:marRight w:val="0"/>
          <w:marTop w:val="0"/>
          <w:marBottom w:val="0"/>
          <w:divBdr>
            <w:top w:val="none" w:sz="0" w:space="0" w:color="auto"/>
            <w:left w:val="none" w:sz="0" w:space="0" w:color="auto"/>
            <w:bottom w:val="none" w:sz="0" w:space="0" w:color="auto"/>
            <w:right w:val="none" w:sz="0" w:space="0" w:color="auto"/>
          </w:divBdr>
        </w:div>
        <w:div w:id="823935998">
          <w:marLeft w:val="0"/>
          <w:marRight w:val="0"/>
          <w:marTop w:val="0"/>
          <w:marBottom w:val="0"/>
          <w:divBdr>
            <w:top w:val="none" w:sz="0" w:space="0" w:color="auto"/>
            <w:left w:val="none" w:sz="0" w:space="0" w:color="auto"/>
            <w:bottom w:val="none" w:sz="0" w:space="0" w:color="auto"/>
            <w:right w:val="none" w:sz="0" w:space="0" w:color="auto"/>
          </w:divBdr>
        </w:div>
        <w:div w:id="1968852384">
          <w:marLeft w:val="0"/>
          <w:marRight w:val="0"/>
          <w:marTop w:val="0"/>
          <w:marBottom w:val="0"/>
          <w:divBdr>
            <w:top w:val="none" w:sz="0" w:space="0" w:color="auto"/>
            <w:left w:val="none" w:sz="0" w:space="0" w:color="auto"/>
            <w:bottom w:val="none" w:sz="0" w:space="0" w:color="auto"/>
            <w:right w:val="none" w:sz="0" w:space="0" w:color="auto"/>
          </w:divBdr>
        </w:div>
        <w:div w:id="327442440">
          <w:marLeft w:val="0"/>
          <w:marRight w:val="0"/>
          <w:marTop w:val="0"/>
          <w:marBottom w:val="0"/>
          <w:divBdr>
            <w:top w:val="none" w:sz="0" w:space="0" w:color="auto"/>
            <w:left w:val="none" w:sz="0" w:space="0" w:color="auto"/>
            <w:bottom w:val="none" w:sz="0" w:space="0" w:color="auto"/>
            <w:right w:val="none" w:sz="0" w:space="0" w:color="auto"/>
          </w:divBdr>
        </w:div>
        <w:div w:id="1212612709">
          <w:marLeft w:val="0"/>
          <w:marRight w:val="0"/>
          <w:marTop w:val="0"/>
          <w:marBottom w:val="0"/>
          <w:divBdr>
            <w:top w:val="none" w:sz="0" w:space="0" w:color="auto"/>
            <w:left w:val="none" w:sz="0" w:space="0" w:color="auto"/>
            <w:bottom w:val="none" w:sz="0" w:space="0" w:color="auto"/>
            <w:right w:val="none" w:sz="0" w:space="0" w:color="auto"/>
          </w:divBdr>
        </w:div>
        <w:div w:id="1008095940">
          <w:marLeft w:val="0"/>
          <w:marRight w:val="0"/>
          <w:marTop w:val="0"/>
          <w:marBottom w:val="0"/>
          <w:divBdr>
            <w:top w:val="none" w:sz="0" w:space="0" w:color="auto"/>
            <w:left w:val="none" w:sz="0" w:space="0" w:color="auto"/>
            <w:bottom w:val="none" w:sz="0" w:space="0" w:color="auto"/>
            <w:right w:val="none" w:sz="0" w:space="0" w:color="auto"/>
          </w:divBdr>
        </w:div>
      </w:divsChild>
    </w:div>
    <w:div w:id="1270702579">
      <w:bodyDiv w:val="1"/>
      <w:marLeft w:val="0"/>
      <w:marRight w:val="0"/>
      <w:marTop w:val="0"/>
      <w:marBottom w:val="0"/>
      <w:divBdr>
        <w:top w:val="none" w:sz="0" w:space="0" w:color="auto"/>
        <w:left w:val="none" w:sz="0" w:space="0" w:color="auto"/>
        <w:bottom w:val="none" w:sz="0" w:space="0" w:color="auto"/>
        <w:right w:val="none" w:sz="0" w:space="0" w:color="auto"/>
      </w:divBdr>
    </w:div>
    <w:div w:id="1368873311">
      <w:bodyDiv w:val="1"/>
      <w:marLeft w:val="0"/>
      <w:marRight w:val="0"/>
      <w:marTop w:val="0"/>
      <w:marBottom w:val="0"/>
      <w:divBdr>
        <w:top w:val="none" w:sz="0" w:space="0" w:color="auto"/>
        <w:left w:val="none" w:sz="0" w:space="0" w:color="auto"/>
        <w:bottom w:val="none" w:sz="0" w:space="0" w:color="auto"/>
        <w:right w:val="none" w:sz="0" w:space="0" w:color="auto"/>
      </w:divBdr>
    </w:div>
    <w:div w:id="1378159895">
      <w:bodyDiv w:val="1"/>
      <w:marLeft w:val="0"/>
      <w:marRight w:val="0"/>
      <w:marTop w:val="0"/>
      <w:marBottom w:val="0"/>
      <w:divBdr>
        <w:top w:val="none" w:sz="0" w:space="0" w:color="auto"/>
        <w:left w:val="none" w:sz="0" w:space="0" w:color="auto"/>
        <w:bottom w:val="none" w:sz="0" w:space="0" w:color="auto"/>
        <w:right w:val="none" w:sz="0" w:space="0" w:color="auto"/>
      </w:divBdr>
    </w:div>
    <w:div w:id="1467431598">
      <w:bodyDiv w:val="1"/>
      <w:marLeft w:val="0"/>
      <w:marRight w:val="0"/>
      <w:marTop w:val="0"/>
      <w:marBottom w:val="0"/>
      <w:divBdr>
        <w:top w:val="none" w:sz="0" w:space="0" w:color="auto"/>
        <w:left w:val="none" w:sz="0" w:space="0" w:color="auto"/>
        <w:bottom w:val="none" w:sz="0" w:space="0" w:color="auto"/>
        <w:right w:val="none" w:sz="0" w:space="0" w:color="auto"/>
      </w:divBdr>
      <w:divsChild>
        <w:div w:id="884565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2608344">
      <w:bodyDiv w:val="1"/>
      <w:marLeft w:val="0"/>
      <w:marRight w:val="0"/>
      <w:marTop w:val="0"/>
      <w:marBottom w:val="0"/>
      <w:divBdr>
        <w:top w:val="none" w:sz="0" w:space="0" w:color="auto"/>
        <w:left w:val="none" w:sz="0" w:space="0" w:color="auto"/>
        <w:bottom w:val="none" w:sz="0" w:space="0" w:color="auto"/>
        <w:right w:val="none" w:sz="0" w:space="0" w:color="auto"/>
      </w:divBdr>
    </w:div>
    <w:div w:id="205222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france.gouv.fr/affichJuriAdmin.do?oldAction=rechJuriAdmin&amp;idTexte=CETATEXT000026618675&amp;fastReqId=160152324&amp;fastPos=1" TargetMode="External"/><Relationship Id="rId13" Type="http://schemas.openxmlformats.org/officeDocument/2006/relationships/image" Target="media/image3.tmp"/><Relationship Id="rId18" Type="http://schemas.openxmlformats.org/officeDocument/2006/relationships/hyperlink" Target="http://www.legifrance.gouv.fr/affichCodeArticle.do;jsessionid=773E5FD8B223DAA836112009528FDD04.tpdjo08v_2?idArticle=LEGIARTI000006900826&amp;cidTexte=LEGITEXT000006072050&amp;dateTexte=20110819&amp;categorieLien=id" TargetMode="External"/><Relationship Id="rId26" Type="http://schemas.openxmlformats.org/officeDocument/2006/relationships/hyperlink" Target="http://avocats.fr/space/carolevercheyregrard/content/cadres----incompatibilite-du-forfait-jours-et-des-horaires-predetermines_2815A54F-8369-454E-A326-69CAB7E57B6C" TargetMode="Externa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legifrance.gouv.fr/affichCodeArticle.do;jsessionid=773E5FD8B223DAA836112009528FDD04.tpdjo08v_2?idArticle=LEGIARTI000006900830&amp;cidTexte=LEGITEXT000006072050&amp;dateTexte=20110819&amp;categorieLien=id" TargetMode="External"/><Relationship Id="rId34" Type="http://schemas.openxmlformats.org/officeDocument/2006/relationships/image" Target="media/image8.tmp"/><Relationship Id="rId7" Type="http://schemas.openxmlformats.org/officeDocument/2006/relationships/image" Target="media/image2.tmp"/><Relationship Id="rId12" Type="http://schemas.openxmlformats.org/officeDocument/2006/relationships/hyperlink" Target="http://www.wk-rh.fr/actualites/detail/58669/quand-le-ce-n-a-pas-ete-consulte-le-reglement-interieur-est-sans-valeur.html" TargetMode="External"/><Relationship Id="rId17" Type="http://schemas.openxmlformats.org/officeDocument/2006/relationships/hyperlink" Target="http://www.legifrance.gouv.fr/affichCodeArticle.do;jsessionid=773E5FD8B223DAA836112009528FDD04.tpdjo08v_2?idArticle=LEGIARTI000006900825&amp;cidTexte=LEGITEXT000006072050&amp;dateTexte=20110819&amp;categorieLien=id" TargetMode="External"/><Relationship Id="rId25" Type="http://schemas.openxmlformats.org/officeDocument/2006/relationships/hyperlink" Target="http://www.legifrance.gouv.fr/affichCodeArticle.do;jsessionid=EA4A0DAD7D2A1A7C17BB60585ACFCEF5.tpdjo07v_2?idArticle=LEGIARTI000006901434&amp;cidTexte=LEGITEXT000006072050&amp;dateTexte=20110819&amp;categorieLien=id" TargetMode="External"/><Relationship Id="rId33" Type="http://schemas.openxmlformats.org/officeDocument/2006/relationships/image" Target="media/image7.tmp"/><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legifrance.gouv.fr/affichCodeArticle.do;jsessionid=773E5FD8B223DAA836112009528FDD04.tpdjo08v_2?cidTexte=LEGITEXT000006072050&amp;idArticle=LEGIARTI000006900824&amp;dateTexte=20110819&amp;categorieLien=cid" TargetMode="External"/><Relationship Id="rId20" Type="http://schemas.openxmlformats.org/officeDocument/2006/relationships/hyperlink" Target="http://www.legifrance.gouv.fr/affichCodeArticle.do;jsessionid=773E5FD8B223DAA836112009528FDD04.tpdjo08v_2?idArticle=LEGIARTI000006900829&amp;cidTexte=LEGITEXT000006072050&amp;dateTexte=20110819&amp;categorieLien=id" TargetMode="External"/><Relationship Id="rId29" Type="http://schemas.openxmlformats.org/officeDocument/2006/relationships/hyperlink" Target="http://www.portailrh.org/votre_emploi/fiche_lapresse.aspx?f=63877" TargetMode="External"/><Relationship Id="rId1" Type="http://schemas.openxmlformats.org/officeDocument/2006/relationships/numbering" Target="numbering.xml"/><Relationship Id="rId6" Type="http://schemas.openxmlformats.org/officeDocument/2006/relationships/image" Target="media/image1.tmp"/><Relationship Id="rId11" Type="http://schemas.openxmlformats.org/officeDocument/2006/relationships/hyperlink" Target="http://www.legifrance.gouv.fr/affichTexte.do?cidTexte=JORFTEXT000029181606&amp;dateTexte=&amp;categorieLien=id" TargetMode="External"/><Relationship Id="rId24" Type="http://schemas.openxmlformats.org/officeDocument/2006/relationships/hyperlink" Target="http://www.legifrance.gouv.fr/affichCodeArticle.do;jsessionid=6424EA41FC16D41B0106A63F65E4E175.tpdjo08v_3?idArticle=LEGIARTI000006900820&amp;cidTexte=LEGITEXT000006072050&amp;dateTexte=20110819&amp;categorieLien=id" TargetMode="External"/><Relationship Id="rId32" Type="http://schemas.openxmlformats.org/officeDocument/2006/relationships/image" Target="media/image6.tmp"/><Relationship Id="rId37" Type="http://schemas.openxmlformats.org/officeDocument/2006/relationships/hyperlink" Target="http://www.wk-rh.fr/preview/BeDhHlCfJnJmFjHkGjOs/editionXHTML/lgpco/710-10_-_elaborer_son_reglement_interieur_-_preparer_la_decision/710-10_-_elaborer_son_reglement_interieur_-_preparer_la_decision" TargetMode="External"/><Relationship Id="rId5" Type="http://schemas.openxmlformats.org/officeDocument/2006/relationships/webSettings" Target="webSettings.xml"/><Relationship Id="rId15" Type="http://schemas.openxmlformats.org/officeDocument/2006/relationships/hyperlink" Target="http://www.legifrance.gouv.fr/affichCodeArticle.do;jsessionid=EA4A0DAD7D2A1A7C17BB60585ACFCEF5.tpdjo07v_2?idArticle=LEGIARTI000006901433&amp;cidTexte=LEGITEXT000006072050&amp;dateTexte=20110819&amp;categorieLien=id" TargetMode="External"/><Relationship Id="rId23" Type="http://schemas.openxmlformats.org/officeDocument/2006/relationships/hyperlink" Target="http://www.legifrance.gouv.fr/affichCodeArticle.do;jsessionid=6424EA41FC16D41B0106A63F65E4E175.tpdjo08v_3?idArticle=LEGIARTI000006900819&amp;cidTexte=LEGITEXT000006072050&amp;dateTexte=20110819&amp;categorieLien=id" TargetMode="External"/><Relationship Id="rId28" Type="http://schemas.openxmlformats.org/officeDocument/2006/relationships/hyperlink" Target="http://www.legifrance.gouv.fr/affichJuriJudi.do?oldAction=rechJuriJudi&amp;idTexte=JURITEXT000026986268&amp;fastReqId=266690153&amp;fastPos=1" TargetMode="External"/><Relationship Id="rId36" Type="http://schemas.openxmlformats.org/officeDocument/2006/relationships/image" Target="media/image10.tmp"/><Relationship Id="rId10" Type="http://schemas.openxmlformats.org/officeDocument/2006/relationships/hyperlink" Target="http://www.atousante.com/obligations-employeur/sante-securite/reglement-interieur-entreprise/" TargetMode="External"/><Relationship Id="rId19" Type="http://schemas.openxmlformats.org/officeDocument/2006/relationships/hyperlink" Target="http://www.legifrance.gouv.fr/affichCodeArticle.do;jsessionid=B6C1E2A4A06E804BA731823DCEB81CBA.tpdjo06v_2?idArticle=LEGIARTI000006900827&amp;cidTexte=LEGITEXT000006072050&amp;dateTexte=20080513" TargetMode="External"/><Relationship Id="rId31" Type="http://schemas.openxmlformats.org/officeDocument/2006/relationships/image" Target="media/image5.tmp"/><Relationship Id="rId4" Type="http://schemas.openxmlformats.org/officeDocument/2006/relationships/settings" Target="settings.xml"/><Relationship Id="rId9" Type="http://schemas.openxmlformats.org/officeDocument/2006/relationships/hyperlink" Target="http://www.legifrance.gouv.fr/affichCodeArticle.do?idArticle=LEGIARTI000029184975&amp;cidTexte=LEGITEXT000006072050&amp;dateTexte=20140730&amp;oldAction=rechCodeArticle&amp;fastReqId=1761648903&amp;nbResultRech=1" TargetMode="External"/><Relationship Id="rId14" Type="http://schemas.openxmlformats.org/officeDocument/2006/relationships/hyperlink" Target="http://www.legifrance.gouv.fr/affichCodeArticle.do?idArticle=LEGIARTI000006901432&amp;cidTexte=LEGITEXT000006072050" TargetMode="External"/><Relationship Id="rId22" Type="http://schemas.openxmlformats.org/officeDocument/2006/relationships/hyperlink" Target="http://www.legifrance.gouv.fr/affichCodeArticle.do;jsessionid=6424EA41FC16D41B0106A63F65E4E175.tpdjo08v_3?cidTexte=LEGITEXT000006072050&amp;idArticle=LEGIARTI000006900818&amp;dateTexte=20110819&amp;categorieLien=cid" TargetMode="External"/><Relationship Id="rId27" Type="http://schemas.openxmlformats.org/officeDocument/2006/relationships/hyperlink" Target="http://avocats.fr/space/carolevercheyregrard/content/cadres----incompatibilite-du-forfait-jours-et-des-horaires-predetermines_2815A54F-8369-454E-A326-69CAB7E57B6C" TargetMode="External"/><Relationship Id="rId30" Type="http://schemas.openxmlformats.org/officeDocument/2006/relationships/image" Target="media/image4.tmp"/><Relationship Id="rId35" Type="http://schemas.openxmlformats.org/officeDocument/2006/relationships/image" Target="media/image9.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2821</Words>
  <Characters>16080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Patrice Delpy</dc:creator>
  <cp:lastModifiedBy>Patrice Delpy</cp:lastModifiedBy>
  <cp:revision>2</cp:revision>
  <dcterms:created xsi:type="dcterms:W3CDTF">2015-07-17T15:32:00Z</dcterms:created>
  <dcterms:modified xsi:type="dcterms:W3CDTF">2015-07-17T15:32:00Z</dcterms:modified>
</cp:coreProperties>
</file>