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9C" w:rsidRDefault="00CD146E">
      <w:bookmarkStart w:id="0" w:name="_GoBack"/>
      <w:r>
        <w:t xml:space="preserve">La mise en œuvre du vote par voie électronique est subordonnée à la conclusion d’un accord </w:t>
      </w:r>
      <w:r>
        <w:t xml:space="preserve">collectif </w:t>
      </w:r>
      <w:r>
        <w:t xml:space="preserve">d’entreprise ou de groupe (C. </w:t>
      </w:r>
      <w:proofErr w:type="spellStart"/>
      <w:proofErr w:type="gramStart"/>
      <w:r>
        <w:t>trav</w:t>
      </w:r>
      <w:proofErr w:type="spellEnd"/>
      <w:r>
        <w:t>.,</w:t>
      </w:r>
      <w:proofErr w:type="gramEnd"/>
      <w:r>
        <w:t xml:space="preserve"> art. L. 2324-19, C. </w:t>
      </w:r>
      <w:proofErr w:type="spellStart"/>
      <w:proofErr w:type="gramStart"/>
      <w:r>
        <w:t>trav</w:t>
      </w:r>
      <w:proofErr w:type="spellEnd"/>
      <w:r>
        <w:t>.,</w:t>
      </w:r>
      <w:proofErr w:type="gramEnd"/>
      <w:r>
        <w:t xml:space="preserve"> art. R. 2324-4)</w:t>
      </w:r>
      <w:r>
        <w:t>.</w:t>
      </w:r>
    </w:p>
    <w:p w:rsidR="00CD146E" w:rsidRDefault="00CD146E">
      <w:r>
        <w:t xml:space="preserve">La direction peut –elle faire publicité de cet accord sur l’un des </w:t>
      </w:r>
      <w:proofErr w:type="gramStart"/>
      <w:r>
        <w:t>panneau</w:t>
      </w:r>
      <w:proofErr w:type="gramEnd"/>
      <w:r>
        <w:t xml:space="preserve"> d’information.</w:t>
      </w:r>
    </w:p>
    <w:p w:rsidR="00CD146E" w:rsidRDefault="00CD146E"/>
    <w:p w:rsidR="00CD146E" w:rsidRDefault="00CD146E">
      <w:r>
        <w:t xml:space="preserve">Les représentants du personnel, quant à eux, ainsi que les membres du bureau de vote, doivent bénéficier d’une véritable formation sur le système de vote électronique retenu (C. </w:t>
      </w:r>
      <w:proofErr w:type="spellStart"/>
      <w:proofErr w:type="gramStart"/>
      <w:r>
        <w:t>trav</w:t>
      </w:r>
      <w:proofErr w:type="spellEnd"/>
      <w:r>
        <w:t>.,</w:t>
      </w:r>
      <w:proofErr w:type="gramEnd"/>
      <w:r>
        <w:t xml:space="preserve"> art. R. 2324-11).</w:t>
      </w:r>
    </w:p>
    <w:tbl>
      <w:tblPr>
        <w:tblW w:w="0" w:type="auto"/>
        <w:tblCellSpacing w:w="0" w:type="dxa"/>
        <w:tblCellMar>
          <w:left w:w="0" w:type="dxa"/>
          <w:right w:w="0" w:type="dxa"/>
        </w:tblCellMar>
        <w:tblLook w:val="04A0" w:firstRow="1" w:lastRow="0" w:firstColumn="1" w:lastColumn="0" w:noHBand="0" w:noVBand="1"/>
      </w:tblPr>
      <w:tblGrid>
        <w:gridCol w:w="8827"/>
        <w:gridCol w:w="245"/>
      </w:tblGrid>
      <w:tr w:rsidR="00CD146E" w:rsidRPr="00CD146E" w:rsidTr="00CD146E">
        <w:trPr>
          <w:gridAfter w:val="1"/>
          <w:tblCellSpacing w:w="0" w:type="dxa"/>
        </w:trPr>
        <w:tc>
          <w:tcPr>
            <w:tcW w:w="0" w:type="auto"/>
            <w:vAlign w:val="center"/>
            <w:hideMark/>
          </w:tcPr>
          <w:p w:rsidR="00CD146E" w:rsidRPr="00CD146E" w:rsidRDefault="00CD146E" w:rsidP="00CD146E">
            <w:pPr>
              <w:spacing w:after="0" w:line="240" w:lineRule="auto"/>
              <w:rPr>
                <w:rFonts w:ascii="Times New Roman" w:eastAsia="Times New Roman" w:hAnsi="Times New Roman" w:cs="Times New Roman"/>
                <w:sz w:val="24"/>
                <w:szCs w:val="24"/>
                <w:lang w:eastAsia="fr-FR"/>
              </w:rPr>
            </w:pPr>
            <w:r w:rsidRPr="00CD146E">
              <w:rPr>
                <w:rFonts w:ascii="Times New Roman" w:eastAsia="Times New Roman" w:hAnsi="Times New Roman" w:cs="Times New Roman"/>
                <w:sz w:val="24"/>
                <w:szCs w:val="24"/>
                <w:lang w:eastAsia="fr-FR"/>
              </w:rPr>
              <w:t>Andrea</w:t>
            </w:r>
          </w:p>
        </w:tc>
      </w:tr>
      <w:tr w:rsidR="00CD146E" w:rsidRPr="00CD146E" w:rsidTr="00CD146E">
        <w:trPr>
          <w:tblCellSpacing w:w="0" w:type="dxa"/>
        </w:trPr>
        <w:tc>
          <w:tcPr>
            <w:tcW w:w="0" w:type="auto"/>
            <w:noWrap/>
            <w:vAlign w:val="center"/>
          </w:tcPr>
          <w:p w:rsidR="00CD146E" w:rsidRPr="00CD146E" w:rsidRDefault="00CD146E" w:rsidP="00CD146E">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CD146E" w:rsidRPr="00CD146E" w:rsidRDefault="00CD146E" w:rsidP="00CD146E">
            <w:pPr>
              <w:spacing w:after="0" w:line="240" w:lineRule="auto"/>
              <w:rPr>
                <w:rFonts w:ascii="Times New Roman" w:eastAsia="Times New Roman" w:hAnsi="Times New Roman" w:cs="Times New Roman"/>
                <w:sz w:val="24"/>
                <w:szCs w:val="24"/>
                <w:lang w:eastAsia="fr-FR"/>
              </w:rPr>
            </w:pPr>
            <w:proofErr w:type="spellStart"/>
            <w:r w:rsidRPr="00CD146E">
              <w:rPr>
                <w:rFonts w:ascii="Times New Roman" w:eastAsia="Times New Roman" w:hAnsi="Times New Roman" w:cs="Times New Roman"/>
                <w:sz w:val="24"/>
                <w:szCs w:val="24"/>
                <w:lang w:eastAsia="fr-FR"/>
              </w:rPr>
              <w:t>Bonelli</w:t>
            </w:r>
            <w:proofErr w:type="spellEnd"/>
          </w:p>
        </w:tc>
      </w:tr>
      <w:tr w:rsidR="00CD146E" w:rsidRPr="00CD146E" w:rsidTr="00CD146E">
        <w:trPr>
          <w:tblCellSpacing w:w="0" w:type="dxa"/>
        </w:trPr>
        <w:tc>
          <w:tcPr>
            <w:tcW w:w="0" w:type="auto"/>
            <w:noWrap/>
            <w:vAlign w:val="center"/>
          </w:tcPr>
          <w:p w:rsidR="00CD146E" w:rsidRDefault="00CB18E1" w:rsidP="00CB18E1">
            <w:pPr>
              <w:spacing w:after="0" w:line="240" w:lineRule="auto"/>
              <w:ind w:left="708" w:hanging="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France</w:t>
            </w:r>
          </w:p>
          <w:tbl>
            <w:tblPr>
              <w:tblW w:w="0" w:type="auto"/>
              <w:tblCellSpacing w:w="0" w:type="dxa"/>
              <w:tblCellMar>
                <w:left w:w="0" w:type="dxa"/>
                <w:right w:w="0" w:type="dxa"/>
              </w:tblCellMar>
              <w:tblLook w:val="04A0" w:firstRow="1" w:lastRow="0" w:firstColumn="1" w:lastColumn="0" w:noHBand="0" w:noVBand="1"/>
            </w:tblPr>
            <w:tblGrid>
              <w:gridCol w:w="6"/>
              <w:gridCol w:w="3101"/>
            </w:tblGrid>
            <w:tr w:rsidR="00CB18E1" w:rsidRPr="00CB18E1" w:rsidTr="00CB18E1">
              <w:trPr>
                <w:tblCellSpacing w:w="0" w:type="dxa"/>
              </w:trPr>
              <w:tc>
                <w:tcPr>
                  <w:tcW w:w="0" w:type="auto"/>
                  <w:noWrap/>
                  <w:vAlign w:val="center"/>
                  <w:hideMark/>
                </w:tcPr>
                <w:p w:rsidR="00CB18E1" w:rsidRPr="00CB18E1" w:rsidRDefault="00CB18E1" w:rsidP="00CB18E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CB18E1" w:rsidRPr="00CB18E1" w:rsidRDefault="00CB18E1" w:rsidP="00CB18E1">
                  <w:pPr>
                    <w:spacing w:after="0" w:line="240" w:lineRule="auto"/>
                    <w:rPr>
                      <w:rFonts w:ascii="Times New Roman" w:eastAsia="Times New Roman" w:hAnsi="Times New Roman" w:cs="Times New Roman"/>
                      <w:sz w:val="24"/>
                      <w:szCs w:val="24"/>
                      <w:lang w:eastAsia="fr-FR"/>
                    </w:rPr>
                  </w:pPr>
                  <w:r w:rsidRPr="00CB18E1">
                    <w:rPr>
                      <w:rFonts w:ascii="Times New Roman" w:eastAsia="Times New Roman" w:hAnsi="Times New Roman" w:cs="Times New Roman"/>
                      <w:sz w:val="24"/>
                      <w:szCs w:val="24"/>
                      <w:lang w:eastAsia="fr-FR"/>
                    </w:rPr>
                    <w:t>Mickael.Grissault@onsemi.com</w:t>
                  </w:r>
                </w:p>
              </w:tc>
            </w:tr>
          </w:tbl>
          <w:p w:rsidR="00CB18E1" w:rsidRPr="00CD146E" w:rsidRDefault="00CB18E1" w:rsidP="00CD146E">
            <w:pPr>
              <w:spacing w:after="0" w:line="240" w:lineRule="auto"/>
              <w:rPr>
                <w:rFonts w:ascii="Times New Roman" w:eastAsia="Times New Roman" w:hAnsi="Times New Roman" w:cs="Times New Roman"/>
                <w:sz w:val="24"/>
                <w:szCs w:val="24"/>
                <w:lang w:eastAsia="fr-FR"/>
              </w:rPr>
            </w:pPr>
          </w:p>
        </w:tc>
        <w:tc>
          <w:tcPr>
            <w:tcW w:w="0" w:type="auto"/>
            <w:vAlign w:val="center"/>
          </w:tcPr>
          <w:p w:rsidR="00CB18E1" w:rsidRDefault="00CB18E1" w:rsidP="00CD146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rsidR="00CD146E" w:rsidRPr="00CD146E" w:rsidRDefault="00CB18E1" w:rsidP="00CD146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Limerick</w:t>
            </w:r>
          </w:p>
        </w:tc>
      </w:tr>
      <w:tr w:rsidR="000B58D7" w:rsidRPr="00CD146E" w:rsidTr="00CD146E">
        <w:trPr>
          <w:tblCellSpacing w:w="0" w:type="dxa"/>
        </w:trPr>
        <w:tc>
          <w:tcPr>
            <w:tcW w:w="0" w:type="auto"/>
            <w:noWrap/>
            <w:vAlign w:val="center"/>
          </w:tcPr>
          <w:p w:rsidR="000B58D7" w:rsidRDefault="000B58D7" w:rsidP="00CB18E1">
            <w:pPr>
              <w:spacing w:after="0" w:line="240" w:lineRule="auto"/>
              <w:ind w:left="708" w:hanging="708"/>
              <w:rPr>
                <w:rFonts w:ascii="Times New Roman" w:eastAsia="Times New Roman" w:hAnsi="Times New Roman" w:cs="Times New Roman"/>
                <w:sz w:val="24"/>
                <w:szCs w:val="24"/>
                <w:lang w:eastAsia="fr-FR"/>
              </w:rPr>
            </w:pPr>
          </w:p>
          <w:p w:rsidR="000B58D7" w:rsidRDefault="000B58D7" w:rsidP="00CB18E1">
            <w:pPr>
              <w:spacing w:after="0" w:line="240" w:lineRule="auto"/>
              <w:ind w:left="708" w:hanging="708"/>
              <w:rPr>
                <w:rFonts w:ascii="Times New Roman" w:eastAsia="Times New Roman" w:hAnsi="Times New Roman" w:cs="Times New Roman"/>
                <w:sz w:val="24"/>
                <w:szCs w:val="24"/>
                <w:lang w:eastAsia="fr-FR"/>
              </w:rPr>
            </w:pPr>
            <w:hyperlink r:id="rId5" w:history="1">
              <w:r w:rsidRPr="004871E6">
                <w:rPr>
                  <w:rStyle w:val="Lienhypertexte"/>
                  <w:rFonts w:ascii="Times New Roman" w:eastAsia="Times New Roman" w:hAnsi="Times New Roman" w:cs="Times New Roman"/>
                  <w:sz w:val="24"/>
                  <w:szCs w:val="24"/>
                  <w:lang w:eastAsia="fr-FR"/>
                </w:rPr>
                <w:t>http://www.cfecgc-sncdd.org/iso_album/lactionsyndicale.pdf</w:t>
              </w:r>
            </w:hyperlink>
          </w:p>
          <w:p w:rsidR="000B58D7" w:rsidRDefault="000B58D7" w:rsidP="00CB18E1">
            <w:pPr>
              <w:spacing w:after="0" w:line="240" w:lineRule="auto"/>
              <w:ind w:left="708" w:hanging="708"/>
              <w:rPr>
                <w:rFonts w:ascii="Times New Roman" w:eastAsia="Times New Roman" w:hAnsi="Times New Roman" w:cs="Times New Roman"/>
                <w:sz w:val="24"/>
                <w:szCs w:val="24"/>
                <w:lang w:eastAsia="fr-FR"/>
              </w:rPr>
            </w:pPr>
          </w:p>
          <w:p w:rsidR="000B58D7" w:rsidRDefault="000B58D7" w:rsidP="000B58D7">
            <w:pPr>
              <w:pStyle w:val="spip"/>
            </w:pPr>
            <w:r>
              <w:t xml:space="preserve">Préalablement à sa mise en place ou à toute modification substantielle de sa conception, le système de vote électronique est soumis à une expertise indépendante, destinée à vérifier la conformité du système. Le rapport de l’expert est tenu à la disposition de la </w:t>
            </w:r>
            <w:proofErr w:type="gramStart"/>
            <w:r>
              <w:t>Cnil(</w:t>
            </w:r>
            <w:proofErr w:type="gramEnd"/>
            <w:r>
              <w:t xml:space="preserve">C. </w:t>
            </w:r>
            <w:proofErr w:type="spellStart"/>
            <w:r>
              <w:t>trav</w:t>
            </w:r>
            <w:proofErr w:type="spellEnd"/>
            <w:r>
              <w:t>., art. R. 2314-12 et R. 2324-8).</w:t>
            </w:r>
          </w:p>
          <w:p w:rsidR="000B58D7" w:rsidRDefault="000B58D7" w:rsidP="000B58D7">
            <w:pPr>
              <w:pStyle w:val="spip"/>
            </w:pPr>
            <w:r>
              <w:t>L’expertise doit nécessairement être antérieure à l’ouverture du vote afin que la société puisse s’assurer du fonctionnement du système, notamment avant le jour du scrutin, et en contrôler a posteriori le résultat (Cnil, délibération n° 2013-091 du 11 avril 2013 ; dans cette affaire, une expertise avait bien été effectuée, mais postérieurement au début des opérations de vote. La société n’était donc pas, considère la Cnil, en mesure de s’assurer du fonctionnement correct de ce système, notamment avant le jour du scrutin, ni d’en contrôler a posteriori le résultat).</w:t>
            </w:r>
          </w:p>
          <w:p w:rsidR="000B58D7" w:rsidRDefault="000B58D7" w:rsidP="000B58D7">
            <w:pPr>
              <w:pStyle w:val="spip"/>
            </w:pPr>
            <w:r>
              <w:t>Formation des syndicats et des IRP et information des salariés</w:t>
            </w:r>
          </w:p>
          <w:p w:rsidR="000B58D7" w:rsidRDefault="000B58D7" w:rsidP="000B58D7">
            <w:pPr>
              <w:pStyle w:val="spip"/>
            </w:pPr>
            <w:r>
              <w:t>L’employeur doit :</w:t>
            </w:r>
          </w:p>
          <w:p w:rsidR="000B58D7" w:rsidRDefault="000B58D7" w:rsidP="000B58D7">
            <w:pPr>
              <w:pStyle w:val="spip"/>
            </w:pPr>
            <w:r>
              <w:t xml:space="preserve">– faire en sorte que les représentants du personnel, les délégués syndicaux et les membres du bureau de vote bénéficient d’une formation sur le système de vote électronique retenu (C. </w:t>
            </w:r>
            <w:proofErr w:type="spellStart"/>
            <w:proofErr w:type="gramStart"/>
            <w:r>
              <w:t>trav</w:t>
            </w:r>
            <w:proofErr w:type="spellEnd"/>
            <w:r>
              <w:t>.,</w:t>
            </w:r>
            <w:proofErr w:type="gramEnd"/>
            <w:r>
              <w:t xml:space="preserve"> art. R. 2314-15, al. 2 et R. 2324-11, al. 2) ;</w:t>
            </w:r>
          </w:p>
          <w:p w:rsidR="000B58D7" w:rsidRDefault="000B58D7" w:rsidP="00CB18E1">
            <w:pPr>
              <w:spacing w:after="0" w:line="240" w:lineRule="auto"/>
              <w:ind w:left="708" w:hanging="708"/>
              <w:rPr>
                <w:rFonts w:ascii="Times New Roman" w:eastAsia="Times New Roman" w:hAnsi="Times New Roman" w:cs="Times New Roman"/>
                <w:sz w:val="24"/>
                <w:szCs w:val="24"/>
                <w:lang w:eastAsia="fr-FR"/>
              </w:rPr>
            </w:pPr>
          </w:p>
          <w:p w:rsidR="000B58D7" w:rsidRDefault="000B58D7" w:rsidP="00CB18E1">
            <w:pPr>
              <w:spacing w:after="0" w:line="240" w:lineRule="auto"/>
              <w:ind w:left="708" w:hanging="708"/>
              <w:rPr>
                <w:rFonts w:ascii="Times New Roman" w:eastAsia="Times New Roman" w:hAnsi="Times New Roman" w:cs="Times New Roman"/>
                <w:sz w:val="24"/>
                <w:szCs w:val="24"/>
                <w:lang w:eastAsia="fr-FR"/>
              </w:rPr>
            </w:pPr>
          </w:p>
          <w:p w:rsidR="000B58D7" w:rsidRDefault="000B58D7" w:rsidP="000B58D7">
            <w:pPr>
              <w:pStyle w:val="spip"/>
            </w:pPr>
            <w:r>
              <w:lastRenderedPageBreak/>
              <w:t xml:space="preserve">Par ailleurs, la cellule d’assistance technique procède, avant l’ouverture du vote (C. </w:t>
            </w:r>
            <w:proofErr w:type="spellStart"/>
            <w:proofErr w:type="gramStart"/>
            <w:r>
              <w:t>trav</w:t>
            </w:r>
            <w:proofErr w:type="spellEnd"/>
            <w:r>
              <w:t>.,</w:t>
            </w:r>
            <w:proofErr w:type="gramEnd"/>
            <w:r>
              <w:t xml:space="preserve"> art. R. 2314-18 et R. 2324-14) :</w:t>
            </w:r>
          </w:p>
          <w:p w:rsidR="000B58D7" w:rsidRDefault="000B58D7" w:rsidP="000B58D7">
            <w:pPr>
              <w:pStyle w:val="spip"/>
            </w:pPr>
            <w:r>
              <w:t>– à un test du système de vote électronique ;</w:t>
            </w:r>
          </w:p>
          <w:p w:rsidR="000B58D7" w:rsidRDefault="000B58D7" w:rsidP="000B58D7">
            <w:pPr>
              <w:pStyle w:val="spip"/>
            </w:pPr>
            <w:r>
              <w:t>– à la vérification que l’urne électronique est vide, scellée et chiffrée par des clés délivrées à cet effet ;</w:t>
            </w:r>
          </w:p>
          <w:p w:rsidR="000B58D7" w:rsidRDefault="000B58D7" w:rsidP="000B58D7">
            <w:pPr>
              <w:pStyle w:val="spip"/>
            </w:pPr>
            <w:r>
              <w:t>– à un test spécifique du système de dépouillement, à l’issue duquel le système est scellé.</w:t>
            </w:r>
          </w:p>
          <w:p w:rsidR="000B58D7" w:rsidRDefault="000B58D7" w:rsidP="000B58D7">
            <w:pPr>
              <w:pStyle w:val="spip"/>
            </w:pPr>
            <w:r>
              <w:t>Ces tests doivent être effectués en présence des représentants des listes de candidats.</w:t>
            </w:r>
          </w:p>
          <w:p w:rsidR="000B58D7" w:rsidRDefault="000B58D7" w:rsidP="00CB18E1">
            <w:pPr>
              <w:spacing w:after="0" w:line="240" w:lineRule="auto"/>
              <w:ind w:left="708" w:hanging="708"/>
              <w:rPr>
                <w:rFonts w:ascii="Times New Roman" w:eastAsia="Times New Roman" w:hAnsi="Times New Roman" w:cs="Times New Roman"/>
                <w:sz w:val="24"/>
                <w:szCs w:val="24"/>
                <w:lang w:eastAsia="fr-FR"/>
              </w:rPr>
            </w:pPr>
          </w:p>
          <w:p w:rsidR="000B58D7" w:rsidRDefault="000B58D7" w:rsidP="000B58D7">
            <w:pPr>
              <w:pStyle w:val="spip"/>
            </w:pPr>
            <w:r>
              <w:t>Authentification des électeurs</w:t>
            </w:r>
          </w:p>
          <w:p w:rsidR="000B58D7" w:rsidRDefault="000B58D7" w:rsidP="000B58D7">
            <w:pPr>
              <w:pStyle w:val="spip"/>
            </w:pPr>
            <w:r>
              <w:t>Lors du vote sur place ou à distance, l’électeur se fait connaître par le moyen d’authentification qui lui aura été transmis. Ce moyen d’authentification permet au serveur de vérifier son identité et garantir l’unicité de son vote. Il est alors impossible à quiconque de voter à nouveau avec les mêmes moyens d’authentification. Les textes ne prévoient pas les modalités d’envoi des moyens d’authentification (codes et identifiants).</w:t>
            </w:r>
          </w:p>
          <w:p w:rsidR="000B58D7" w:rsidRDefault="000B58D7" w:rsidP="000B58D7">
            <w:pPr>
              <w:pStyle w:val="spip"/>
            </w:pPr>
            <w:r>
              <w:t>Toutefois, la Cour de cassation a récemment énoncé que l’envoi des moyens d’authentification sur la messagerie professionnelle n’était pas de nature à garantir la confidentialité des données ainsi transmises dès lors qu’aucune autre précaution n’avait été prise en vue d’éviter qu’une personne non autorisée puisse se substituer frauduleusement à l’électeur.</w:t>
            </w:r>
          </w:p>
          <w:p w:rsidR="000B58D7" w:rsidRDefault="000B58D7" w:rsidP="000B58D7">
            <w:pPr>
              <w:pStyle w:val="spip"/>
            </w:pPr>
            <w:r>
              <w:t>Cette atteinte à la confidentialité et au secret du vote constitue à elle seule une cause d’annulation du scrutin (</w:t>
            </w:r>
            <w:proofErr w:type="spellStart"/>
            <w:r>
              <w:t>Cass</w:t>
            </w:r>
            <w:proofErr w:type="spellEnd"/>
            <w:r>
              <w:t xml:space="preserve">. </w:t>
            </w:r>
            <w:proofErr w:type="gramStart"/>
            <w:r>
              <w:t>soc.,</w:t>
            </w:r>
            <w:proofErr w:type="gramEnd"/>
            <w:r>
              <w:t xml:space="preserve"> 27 février 2013, n° 12-14.415, v. l’actualité n° 16302 du 11 mars 2013). L’envoi des codes d’accès sur la messagerie professionnelle doit donc nécessairement se conjuguer avec d’autres précautions, tel que le cryptage du message ou l’envoi de double code. Idem lorsque l’identifiant et le mot de passe sont envoyés ensemble par courrier postal au domicile de l’électeur ou par courrier électronique.</w:t>
            </w:r>
          </w:p>
          <w:p w:rsidR="000B58D7" w:rsidRDefault="000B58D7" w:rsidP="000B58D7">
            <w:pPr>
              <w:pStyle w:val="spip"/>
            </w:pPr>
            <w:r>
              <w:t>Selon la Cnil, l’absence dans cette hypothèse, de mesures permettant de s’assurer que seul l’électeur aura accès aux moyens de vote ou destinées à séparer l’identifiant du mot de passe ne permet pas de se prémunir efficacement contre une éventuelle usurpation de l’électeur, peu importe d’ailleurs que cette circonstance se soit réellement ou non réalisée (Cnil, délibération n° 2013-091 du 11 avril 2013). Seules peuvent avoir accès à ces codes les personnes chargées de la gestion et de la maintenance du système (prestataire) à l’exclusion de toute autre.</w:t>
            </w:r>
          </w:p>
          <w:p w:rsidR="000B58D7" w:rsidRDefault="000B58D7" w:rsidP="00CB18E1">
            <w:pPr>
              <w:spacing w:after="0" w:line="240" w:lineRule="auto"/>
              <w:ind w:left="708" w:hanging="708"/>
              <w:rPr>
                <w:rFonts w:ascii="Times New Roman" w:eastAsia="Times New Roman" w:hAnsi="Times New Roman" w:cs="Times New Roman"/>
                <w:sz w:val="24"/>
                <w:szCs w:val="24"/>
                <w:lang w:eastAsia="fr-FR"/>
              </w:rPr>
            </w:pPr>
          </w:p>
        </w:tc>
        <w:tc>
          <w:tcPr>
            <w:tcW w:w="0" w:type="auto"/>
            <w:vAlign w:val="center"/>
          </w:tcPr>
          <w:p w:rsidR="000B58D7" w:rsidRDefault="000B58D7" w:rsidP="00CD146E">
            <w:pPr>
              <w:spacing w:after="0" w:line="240" w:lineRule="auto"/>
              <w:rPr>
                <w:rFonts w:ascii="Times New Roman" w:eastAsia="Times New Roman" w:hAnsi="Times New Roman" w:cs="Times New Roman"/>
                <w:sz w:val="24"/>
                <w:szCs w:val="24"/>
                <w:lang w:eastAsia="fr-FR"/>
              </w:rPr>
            </w:pPr>
          </w:p>
        </w:tc>
      </w:tr>
      <w:tr w:rsidR="00CB18E1" w:rsidRPr="00CD146E" w:rsidTr="00CD146E">
        <w:trPr>
          <w:tblCellSpacing w:w="0" w:type="dxa"/>
        </w:trPr>
        <w:tc>
          <w:tcPr>
            <w:tcW w:w="0" w:type="auto"/>
            <w:noWrap/>
            <w:vAlign w:val="center"/>
          </w:tcPr>
          <w:p w:rsidR="00CB18E1" w:rsidRDefault="00CB18E1" w:rsidP="00CD146E">
            <w:pPr>
              <w:spacing w:after="0" w:line="240" w:lineRule="auto"/>
              <w:rPr>
                <w:rFonts w:ascii="Times New Roman" w:eastAsia="Times New Roman" w:hAnsi="Times New Roman" w:cs="Times New Roman"/>
                <w:sz w:val="24"/>
                <w:szCs w:val="24"/>
                <w:lang w:eastAsia="fr-FR"/>
              </w:rPr>
            </w:pPr>
          </w:p>
        </w:tc>
        <w:tc>
          <w:tcPr>
            <w:tcW w:w="0" w:type="auto"/>
            <w:vAlign w:val="center"/>
          </w:tcPr>
          <w:p w:rsidR="00CB18E1" w:rsidRDefault="00CB18E1" w:rsidP="00CD146E">
            <w:pPr>
              <w:spacing w:after="0" w:line="240" w:lineRule="auto"/>
              <w:rPr>
                <w:rFonts w:ascii="Times New Roman" w:eastAsia="Times New Roman" w:hAnsi="Times New Roman" w:cs="Times New Roman"/>
                <w:sz w:val="24"/>
                <w:szCs w:val="24"/>
                <w:lang w:eastAsia="fr-FR"/>
              </w:rPr>
            </w:pPr>
          </w:p>
        </w:tc>
      </w:tr>
      <w:bookmarkEnd w:id="0"/>
    </w:tbl>
    <w:p w:rsidR="00CD146E" w:rsidRDefault="00CD146E"/>
    <w:sectPr w:rsidR="00CD1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6E"/>
    <w:rsid w:val="000B58D7"/>
    <w:rsid w:val="00702645"/>
    <w:rsid w:val="00C4178B"/>
    <w:rsid w:val="00CB18E1"/>
    <w:rsid w:val="00CD146E"/>
    <w:rsid w:val="00E50D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B58D7"/>
    <w:rPr>
      <w:color w:val="0000FF" w:themeColor="hyperlink"/>
      <w:u w:val="single"/>
    </w:rPr>
  </w:style>
  <w:style w:type="paragraph" w:customStyle="1" w:styleId="spip">
    <w:name w:val="spip"/>
    <w:basedOn w:val="Normal"/>
    <w:rsid w:val="000B58D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B58D7"/>
    <w:rPr>
      <w:color w:val="0000FF" w:themeColor="hyperlink"/>
      <w:u w:val="single"/>
    </w:rPr>
  </w:style>
  <w:style w:type="paragraph" w:customStyle="1" w:styleId="spip">
    <w:name w:val="spip"/>
    <w:basedOn w:val="Normal"/>
    <w:rsid w:val="000B58D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29503">
      <w:bodyDiv w:val="1"/>
      <w:marLeft w:val="0"/>
      <w:marRight w:val="0"/>
      <w:marTop w:val="0"/>
      <w:marBottom w:val="0"/>
      <w:divBdr>
        <w:top w:val="none" w:sz="0" w:space="0" w:color="auto"/>
        <w:left w:val="none" w:sz="0" w:space="0" w:color="auto"/>
        <w:bottom w:val="none" w:sz="0" w:space="0" w:color="auto"/>
        <w:right w:val="none" w:sz="0" w:space="0" w:color="auto"/>
      </w:divBdr>
    </w:div>
    <w:div w:id="683632391">
      <w:bodyDiv w:val="1"/>
      <w:marLeft w:val="0"/>
      <w:marRight w:val="0"/>
      <w:marTop w:val="0"/>
      <w:marBottom w:val="0"/>
      <w:divBdr>
        <w:top w:val="none" w:sz="0" w:space="0" w:color="auto"/>
        <w:left w:val="none" w:sz="0" w:space="0" w:color="auto"/>
        <w:bottom w:val="none" w:sz="0" w:space="0" w:color="auto"/>
        <w:right w:val="none" w:sz="0" w:space="0" w:color="auto"/>
      </w:divBdr>
    </w:div>
    <w:div w:id="1182351491">
      <w:bodyDiv w:val="1"/>
      <w:marLeft w:val="0"/>
      <w:marRight w:val="0"/>
      <w:marTop w:val="0"/>
      <w:marBottom w:val="0"/>
      <w:divBdr>
        <w:top w:val="none" w:sz="0" w:space="0" w:color="auto"/>
        <w:left w:val="none" w:sz="0" w:space="0" w:color="auto"/>
        <w:bottom w:val="none" w:sz="0" w:space="0" w:color="auto"/>
        <w:right w:val="none" w:sz="0" w:space="0" w:color="auto"/>
      </w:divBdr>
    </w:div>
    <w:div w:id="1345551820">
      <w:bodyDiv w:val="1"/>
      <w:marLeft w:val="0"/>
      <w:marRight w:val="0"/>
      <w:marTop w:val="0"/>
      <w:marBottom w:val="0"/>
      <w:divBdr>
        <w:top w:val="none" w:sz="0" w:space="0" w:color="auto"/>
        <w:left w:val="none" w:sz="0" w:space="0" w:color="auto"/>
        <w:bottom w:val="none" w:sz="0" w:space="0" w:color="auto"/>
        <w:right w:val="none" w:sz="0" w:space="0" w:color="auto"/>
      </w:divBdr>
    </w:div>
    <w:div w:id="1650016859">
      <w:bodyDiv w:val="1"/>
      <w:marLeft w:val="0"/>
      <w:marRight w:val="0"/>
      <w:marTop w:val="0"/>
      <w:marBottom w:val="0"/>
      <w:divBdr>
        <w:top w:val="none" w:sz="0" w:space="0" w:color="auto"/>
        <w:left w:val="none" w:sz="0" w:space="0" w:color="auto"/>
        <w:bottom w:val="none" w:sz="0" w:space="0" w:color="auto"/>
        <w:right w:val="none" w:sz="0" w:space="0" w:color="auto"/>
      </w:divBdr>
    </w:div>
    <w:div w:id="184216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fecgc-sncdd.org/iso_album/lactionsyndicale.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2853</TotalTime>
  <Pages>1</Pages>
  <Words>656</Words>
  <Characters>3612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cp:revision>
  <dcterms:created xsi:type="dcterms:W3CDTF">2016-06-21T18:42:00Z</dcterms:created>
  <dcterms:modified xsi:type="dcterms:W3CDTF">2016-06-23T21:50:00Z</dcterms:modified>
</cp:coreProperties>
</file>