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C" w:rsidRDefault="00B61464">
      <w:r>
        <w:t>Multinationales</w:t>
      </w:r>
    </w:p>
    <w:p w:rsidR="00B61464" w:rsidRDefault="00B61464">
      <w:r>
        <w:t>Société qui dispose de filiales dans des pays distincts</w:t>
      </w:r>
    </w:p>
    <w:p w:rsidR="00B61464" w:rsidRDefault="00B61464">
      <w:r>
        <w:t>Relations siège - filiales .</w:t>
      </w:r>
    </w:p>
    <w:p w:rsidR="00B61464" w:rsidRDefault="00B61464">
      <w:r>
        <w:t>l’exécutant local, qui applique la stratégie décidée au siège. La filiale se caractérise par une forte dépendance vis-à-vis du siège;</w:t>
      </w:r>
    </w:p>
    <w:p w:rsidR="00B61464" w:rsidRDefault="00B61464">
      <w:r>
        <w:t>le contributeur au groupe, qui est impliqué dans la stratégie du groupe, ce qui se traduit par une forte interdépendance entre le siège et la filiale;</w:t>
      </w:r>
    </w:p>
    <w:p w:rsidR="00B61464" w:rsidRDefault="00B61464">
      <w:r>
        <w:t>la filiale autonome ou l’innovateur local, si l’on reprend la terminologie de Gupta et Govindarajan (1991), caractérisé par une forte indépendance vis-à-vis du siège; – et le mandat global ou l’innovateur global (selon Gupta et Govindarajan, 1991) avec une forte dépendance du groupe vis-vis de la filiale et qui peut se rapprocher d’un centre d’excellence.</w:t>
      </w:r>
    </w:p>
    <w:p w:rsidR="00B61464" w:rsidRDefault="00B61464"/>
    <w:p w:rsidR="00B61464" w:rsidRDefault="00B61464">
      <w:r>
        <w:t>Quel est le degré d</w:t>
      </w:r>
      <w:r>
        <w:t>’autonomie ou non des filiales</w:t>
      </w:r>
    </w:p>
    <w:p w:rsidR="00B61464" w:rsidRDefault="00B61464">
      <w:r>
        <w:t>Apparait le concept de sontrole di siége sur ces filiales</w:t>
      </w:r>
    </w:p>
    <w:p w:rsidR="00B61464" w:rsidRDefault="00B61464">
      <w:hyperlink r:id="rId4" w:history="1">
        <w:r w:rsidRPr="004667C4">
          <w:rPr>
            <w:rStyle w:val="Lienhypertexte"/>
          </w:rPr>
          <w:t>https://www.erudit.org/fr/revues/mi/2012-v17-n1-mi0403/1013679ar.pdf</w:t>
        </w:r>
      </w:hyperlink>
    </w:p>
    <w:p w:rsidR="00B61464" w:rsidRDefault="000004A3">
      <w:r>
        <w:t>on peut</w:t>
      </w:r>
      <w:r w:rsidR="00B61464">
        <w:t xml:space="preserve"> identifier quatre formes de contrôle : le contrôle par les personnes, le contrôle bureaucratique, le contrôle par les résultats et le contrôle par la socialisation et les réseaux.</w:t>
      </w:r>
    </w:p>
    <w:p w:rsidR="000004A3" w:rsidRDefault="000004A3"/>
    <w:p w:rsidR="000004A3" w:rsidRDefault="000004A3">
      <w:r>
        <w:t>L’envoi d’expatriés (du pays d’origine) peut être conçu comme une forme étendue de la supervision du siège . Ces derniers sont alors vus comme des « agents du siège » et la présence du personnel du siège dans la filiale se comprend comme la volonté de contrôler le comportement du management de la filiale</w:t>
      </w:r>
    </w:p>
    <w:p w:rsidR="000004A3" w:rsidRDefault="000004A3">
      <w:pPr>
        <w:rPr>
          <w:b/>
        </w:rPr>
      </w:pPr>
      <w:r w:rsidRPr="00EB7CE1">
        <w:rPr>
          <w:b/>
        </w:rPr>
        <w:t>Une même grille d’entretien</w:t>
      </w:r>
    </w:p>
    <w:p w:rsidR="00EB7CE1" w:rsidRDefault="00EB7CE1">
      <w:pPr>
        <w:rPr>
          <w:b/>
        </w:rPr>
      </w:pPr>
    </w:p>
    <w:p w:rsidR="00EB7CE1" w:rsidRDefault="00EB7CE1">
      <w:pPr>
        <w:rPr>
          <w:color w:val="323232"/>
          <w:sz w:val="30"/>
          <w:szCs w:val="30"/>
          <w:shd w:val="clear" w:color="auto" w:fill="FAFAFA"/>
        </w:rPr>
      </w:pPr>
      <w:r>
        <w:rPr>
          <w:color w:val="323232"/>
          <w:sz w:val="30"/>
          <w:szCs w:val="30"/>
          <w:shd w:val="clear" w:color="auto" w:fill="FAFAFA"/>
        </w:rPr>
        <w:t>le groupe est internationalisé</w:t>
      </w:r>
    </w:p>
    <w:p w:rsidR="00EB7CE1" w:rsidRDefault="00EB7CE1">
      <w:pPr>
        <w:rPr>
          <w:color w:val="323232"/>
          <w:sz w:val="30"/>
          <w:szCs w:val="30"/>
          <w:shd w:val="clear" w:color="auto" w:fill="FAFAFA"/>
        </w:rPr>
      </w:pPr>
    </w:p>
    <w:p w:rsidR="00EB7CE1" w:rsidRDefault="00EB7CE1">
      <w:pPr>
        <w:rPr>
          <w:color w:val="323232"/>
          <w:sz w:val="30"/>
          <w:szCs w:val="30"/>
          <w:shd w:val="clear" w:color="auto" w:fill="FAFAFA"/>
        </w:rPr>
      </w:pPr>
      <w:r>
        <w:rPr>
          <w:color w:val="323232"/>
          <w:sz w:val="30"/>
          <w:szCs w:val="30"/>
          <w:shd w:val="clear" w:color="auto" w:fill="FAFAFA"/>
        </w:rPr>
        <w:t>Il s’est agi de consacrer la qualité de coemployeur à l’égard de la société-mère du groupe, cette dernière détenant le pouvoir de décision sur le sort des salariés d’une filiale</w:t>
      </w:r>
    </w:p>
    <w:p w:rsidR="00EB7CE1" w:rsidRDefault="00EB7CE1">
      <w:pPr>
        <w:rPr>
          <w:color w:val="323232"/>
          <w:sz w:val="30"/>
          <w:szCs w:val="30"/>
          <w:shd w:val="clear" w:color="auto" w:fill="FAFAFA"/>
        </w:rPr>
      </w:pPr>
      <w:r>
        <w:rPr>
          <w:color w:val="323232"/>
          <w:sz w:val="30"/>
          <w:szCs w:val="30"/>
          <w:shd w:val="clear" w:color="auto" w:fill="FAFAFA"/>
        </w:rPr>
        <w:t>existait une confusion d’intérêts, d’activités et de direction</w:t>
      </w:r>
    </w:p>
    <w:p w:rsidR="00EB7CE1" w:rsidRDefault="00EB7CE1">
      <w:pPr>
        <w:rPr>
          <w:color w:val="323232"/>
          <w:sz w:val="30"/>
          <w:szCs w:val="30"/>
          <w:shd w:val="clear" w:color="auto" w:fill="FAFAFA"/>
        </w:rPr>
      </w:pPr>
      <w:r>
        <w:rPr>
          <w:color w:val="323232"/>
          <w:sz w:val="30"/>
          <w:szCs w:val="30"/>
          <w:shd w:val="clear" w:color="auto" w:fill="FAFAFA"/>
        </w:rPr>
        <w:t xml:space="preserve"> Cette triple confusion conduisait à octroyer la qualité de co-employeur à la société-mère finlandaise à l’égard des salariés de la filiale française (Cassation sociale 19 juin 2007, n° 05-42.551). Ce qui a été également mis </w:t>
      </w:r>
      <w:r>
        <w:rPr>
          <w:color w:val="323232"/>
          <w:sz w:val="30"/>
          <w:szCs w:val="30"/>
          <w:shd w:val="clear" w:color="auto" w:fill="FAFAFA"/>
        </w:rPr>
        <w:lastRenderedPageBreak/>
        <w:t>en évidence est que les salariés de la filiale avaient effectué leur travail sous la direction et au profit de la société-mère</w:t>
      </w:r>
    </w:p>
    <w:p w:rsidR="00064594" w:rsidRPr="00EB7CE1" w:rsidRDefault="00064594">
      <w:pPr>
        <w:rPr>
          <w:b/>
        </w:rPr>
      </w:pPr>
    </w:p>
    <w:p w:rsidR="000004A3" w:rsidRDefault="000004A3"/>
    <w:p w:rsidR="000004A3" w:rsidRDefault="000004A3">
      <w:r>
        <w:rPr>
          <w:noProof/>
          <w:lang w:eastAsia="fr-FR"/>
        </w:rPr>
        <w:drawing>
          <wp:inline distT="0" distB="0" distL="0" distR="0" wp14:anchorId="3FBF5866" wp14:editId="7C6943FD">
            <wp:extent cx="5760720" cy="30270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A3" w:rsidRDefault="000004A3">
      <w:hyperlink r:id="rId6" w:history="1">
        <w:r w:rsidRPr="004667C4">
          <w:rPr>
            <w:rStyle w:val="Lienhypertexte"/>
          </w:rPr>
          <w:t>https://www.avocats-amado.net/perimetre-groupe-matiere-de-licenciement-cause-economique/</w:t>
        </w:r>
      </w:hyperlink>
    </w:p>
    <w:p w:rsidR="000004A3" w:rsidRDefault="000004A3">
      <w:hyperlink r:id="rId7" w:history="1">
        <w:r w:rsidRPr="004667C4">
          <w:rPr>
            <w:rStyle w:val="Lienhypertexte"/>
          </w:rPr>
          <w:t>https://www.berton-associes.fr/blog/droit-du-travail/responsabilite-societe-mere-licenciement-economique-filiale/</w:t>
        </w:r>
      </w:hyperlink>
    </w:p>
    <w:p w:rsidR="000004A3" w:rsidRDefault="000004A3"/>
    <w:p w:rsidR="000004A3" w:rsidRDefault="000004A3">
      <w:pPr>
        <w:rPr>
          <w:color w:val="323232"/>
          <w:sz w:val="30"/>
          <w:szCs w:val="30"/>
          <w:shd w:val="clear" w:color="auto" w:fill="FAFAFA"/>
        </w:rPr>
      </w:pPr>
      <w:r>
        <w:rPr>
          <w:color w:val="323232"/>
          <w:sz w:val="30"/>
          <w:szCs w:val="30"/>
          <w:shd w:val="clear" w:color="auto" w:fill="FAFAFA"/>
        </w:rPr>
        <w:t>les salariés d’une filiale peuvent suivre les directives de leur employeur-filiale, ces directives étant issues d’une politique d’ensemble du groupe. Or, cette politique d’ensemble du groupe peut être déterminée par la société-mère, qui n’est pas l’employeur des salariés de la filiale. Le droit du travail qui permet de régler les relations entre employeurs et salariés, se heurte alors au fonctionnement du groupe</w:t>
      </w:r>
    </w:p>
    <w:p w:rsidR="00EB7CE1" w:rsidRPr="00EB7CE1" w:rsidRDefault="00EB7CE1">
      <w:pPr>
        <w:rPr>
          <w:b/>
          <w:color w:val="323232"/>
          <w:sz w:val="30"/>
          <w:szCs w:val="30"/>
          <w:shd w:val="clear" w:color="auto" w:fill="FAFAFA"/>
        </w:rPr>
      </w:pPr>
      <w:r w:rsidRPr="00EB7CE1">
        <w:rPr>
          <w:b/>
          <w:color w:val="323232"/>
          <w:sz w:val="30"/>
          <w:szCs w:val="30"/>
          <w:shd w:val="clear" w:color="auto" w:fill="FAFAFA"/>
        </w:rPr>
        <w:t>l</w:t>
      </w:r>
      <w:r w:rsidRPr="00EB7CE1">
        <w:rPr>
          <w:b/>
          <w:color w:val="323232"/>
          <w:sz w:val="30"/>
          <w:szCs w:val="30"/>
          <w:shd w:val="clear" w:color="auto" w:fill="FAFAFA"/>
        </w:rPr>
        <w:t>iens financiers étroits</w:t>
      </w:r>
    </w:p>
    <w:p w:rsidR="00EB7CE1" w:rsidRDefault="00EB7CE1">
      <w:pPr>
        <w:rPr>
          <w:b/>
          <w:color w:val="323232"/>
          <w:sz w:val="30"/>
          <w:szCs w:val="30"/>
          <w:shd w:val="clear" w:color="auto" w:fill="FAFAFA"/>
        </w:rPr>
      </w:pPr>
      <w:r w:rsidRPr="00EB7CE1">
        <w:rPr>
          <w:b/>
          <w:color w:val="323232"/>
          <w:sz w:val="30"/>
          <w:szCs w:val="30"/>
          <w:shd w:val="clear" w:color="auto" w:fill="FAFAFA"/>
        </w:rPr>
        <w:t>même logo</w:t>
      </w:r>
    </w:p>
    <w:p w:rsidR="00064594" w:rsidRDefault="00064594">
      <w:pPr>
        <w:rPr>
          <w:b/>
          <w:color w:val="323232"/>
          <w:sz w:val="30"/>
          <w:szCs w:val="30"/>
          <w:shd w:val="clear" w:color="auto" w:fill="FAFAFA"/>
        </w:rPr>
      </w:pPr>
    </w:p>
    <w:p w:rsidR="00064594" w:rsidRDefault="00064594">
      <w:pPr>
        <w:rPr>
          <w:b/>
          <w:color w:val="323232"/>
          <w:sz w:val="30"/>
          <w:szCs w:val="30"/>
          <w:shd w:val="clear" w:color="auto" w:fill="FAFAFA"/>
        </w:rPr>
      </w:pPr>
      <w:r>
        <w:rPr>
          <w:b/>
          <w:color w:val="323232"/>
          <w:sz w:val="30"/>
          <w:szCs w:val="30"/>
          <w:shd w:val="clear" w:color="auto" w:fill="FAFAFA"/>
        </w:rPr>
        <w:t>lien de subordination</w:t>
      </w:r>
    </w:p>
    <w:p w:rsidR="00624409" w:rsidRDefault="00624409">
      <w:pPr>
        <w:rPr>
          <w:color w:val="323232"/>
          <w:sz w:val="30"/>
          <w:szCs w:val="30"/>
          <w:shd w:val="clear" w:color="auto" w:fill="FAFAFA"/>
        </w:rPr>
      </w:pPr>
      <w:r>
        <w:rPr>
          <w:b/>
          <w:color w:val="323232"/>
          <w:sz w:val="30"/>
          <w:szCs w:val="30"/>
          <w:shd w:val="clear" w:color="auto" w:fill="FAFAFA"/>
        </w:rPr>
        <w:t xml:space="preserve">transfert de </w:t>
      </w:r>
      <w:r>
        <w:rPr>
          <w:color w:val="323232"/>
          <w:sz w:val="30"/>
          <w:szCs w:val="30"/>
          <w:shd w:val="clear" w:color="auto" w:fill="FAFAFA"/>
        </w:rPr>
        <w:t>activité administrative et commerciale</w:t>
      </w:r>
    </w:p>
    <w:p w:rsidR="0091309C" w:rsidRDefault="0091309C">
      <w:pPr>
        <w:rPr>
          <w:color w:val="323232"/>
          <w:sz w:val="30"/>
          <w:szCs w:val="30"/>
          <w:shd w:val="clear" w:color="auto" w:fill="FAFAFA"/>
        </w:rPr>
      </w:pPr>
      <w:r>
        <w:rPr>
          <w:color w:val="323232"/>
          <w:sz w:val="30"/>
          <w:szCs w:val="30"/>
          <w:shd w:val="clear" w:color="auto" w:fill="FAFAFA"/>
        </w:rPr>
        <w:lastRenderedPageBreak/>
        <w:t xml:space="preserve">La </w:t>
      </w:r>
      <w:r>
        <w:rPr>
          <w:color w:val="323232"/>
          <w:sz w:val="30"/>
          <w:szCs w:val="30"/>
          <w:shd w:val="clear" w:color="auto" w:fill="FAFAFA"/>
        </w:rPr>
        <w:t xml:space="preserve">filiale était entièrement sous la dépendance du groupe et que la société </w:t>
      </w:r>
      <w:r>
        <w:rPr>
          <w:color w:val="323232"/>
          <w:sz w:val="30"/>
          <w:szCs w:val="30"/>
          <w:shd w:val="clear" w:color="auto" w:fill="FAFAFA"/>
        </w:rPr>
        <w:t>mére</w:t>
      </w:r>
      <w:r>
        <w:rPr>
          <w:color w:val="323232"/>
          <w:sz w:val="30"/>
          <w:szCs w:val="30"/>
          <w:shd w:val="clear" w:color="auto" w:fill="FAFAFA"/>
        </w:rPr>
        <w:t xml:space="preserve"> absorbait 80 % de l’activité de </w:t>
      </w:r>
      <w:r>
        <w:rPr>
          <w:color w:val="323232"/>
          <w:sz w:val="30"/>
          <w:szCs w:val="30"/>
          <w:shd w:val="clear" w:color="auto" w:fill="FAFAFA"/>
        </w:rPr>
        <w:t>la filiale</w:t>
      </w:r>
      <w:r>
        <w:rPr>
          <w:color w:val="323232"/>
          <w:sz w:val="30"/>
          <w:szCs w:val="30"/>
          <w:shd w:val="clear" w:color="auto" w:fill="FAFAFA"/>
        </w:rPr>
        <w:t xml:space="preserve">. De plus, la même société </w:t>
      </w:r>
      <w:r>
        <w:rPr>
          <w:color w:val="323232"/>
          <w:sz w:val="30"/>
          <w:szCs w:val="30"/>
          <w:shd w:val="clear" w:color="auto" w:fill="FAFAFA"/>
        </w:rPr>
        <w:t xml:space="preserve">mére </w:t>
      </w:r>
      <w:r>
        <w:rPr>
          <w:color w:val="323232"/>
          <w:sz w:val="30"/>
          <w:szCs w:val="30"/>
          <w:shd w:val="clear" w:color="auto" w:fill="FAFAFA"/>
        </w:rPr>
        <w:t xml:space="preserve"> déterminait les prix de la production</w:t>
      </w:r>
    </w:p>
    <w:p w:rsidR="00BE7CB3" w:rsidRDefault="00BE7CB3">
      <w:pPr>
        <w:rPr>
          <w:b/>
        </w:rPr>
      </w:pPr>
      <w:hyperlink r:id="rId8" w:history="1">
        <w:r w:rsidRPr="004667C4">
          <w:rPr>
            <w:rStyle w:val="Lienhypertexte"/>
            <w:b/>
          </w:rPr>
          <w:t>https://www.cairn.info/revue-humanisme-et-entreprise-2013-2-page-37.htm</w:t>
        </w:r>
      </w:hyperlink>
    </w:p>
    <w:p w:rsidR="00BE7CB3" w:rsidRDefault="00BE7CB3">
      <w:pPr>
        <w:rPr>
          <w:b/>
        </w:rPr>
      </w:pPr>
    </w:p>
    <w:p w:rsidR="00BE7CB3" w:rsidRDefault="00BE7CB3">
      <w:pPr>
        <w:rPr>
          <w:b/>
        </w:rPr>
      </w:pPr>
    </w:p>
    <w:p w:rsidR="00BE7CB3" w:rsidRDefault="00BE7CB3">
      <w:pPr>
        <w:rPr>
          <w:b/>
        </w:rPr>
      </w:pPr>
      <w:r>
        <w:rPr>
          <w:b/>
        </w:rPr>
        <w:t xml:space="preserve">google recherche : </w:t>
      </w:r>
      <w:r w:rsidRPr="00BE7CB3">
        <w:rPr>
          <w:b/>
        </w:rPr>
        <w:t>licenciement économique filiale groupe</w:t>
      </w:r>
    </w:p>
    <w:p w:rsidR="00FF776F" w:rsidRDefault="00FF776F">
      <w:pPr>
        <w:rPr>
          <w:rStyle w:val="lev"/>
          <w:rFonts w:ascii="Arial" w:hAnsi="Arial" w:cs="Arial"/>
          <w:color w:val="0A1164"/>
          <w:sz w:val="23"/>
          <w:szCs w:val="23"/>
          <w:shd w:val="clear" w:color="auto" w:fill="FAFAFA"/>
        </w:rPr>
      </w:pPr>
      <w:r>
        <w:rPr>
          <w:rStyle w:val="lev"/>
          <w:rFonts w:ascii="Arial" w:hAnsi="Arial" w:cs="Arial"/>
          <w:color w:val="0A1164"/>
          <w:sz w:val="23"/>
          <w:szCs w:val="23"/>
          <w:shd w:val="clear" w:color="auto" w:fill="FAFAFA"/>
        </w:rPr>
        <w:t>double lien de subordination</w:t>
      </w:r>
    </w:p>
    <w:p w:rsidR="00FF776F" w:rsidRPr="00FF776F" w:rsidRDefault="00FF776F" w:rsidP="00FF776F">
      <w:pPr>
        <w:shd w:val="clear" w:color="auto" w:fill="FAFAFA"/>
        <w:spacing w:before="225" w:after="225" w:line="240" w:lineRule="auto"/>
        <w:outlineLvl w:val="1"/>
        <w:rPr>
          <w:rFonts w:ascii="Arial" w:eastAsia="Times New Roman" w:hAnsi="Arial" w:cs="Arial"/>
          <w:color w:val="2B3080"/>
          <w:spacing w:val="-5"/>
          <w:sz w:val="41"/>
          <w:szCs w:val="41"/>
          <w:lang w:eastAsia="fr-FR"/>
        </w:rPr>
      </w:pPr>
      <w:r>
        <w:rPr>
          <w:rFonts w:ascii="Arial" w:eastAsia="Times New Roman" w:hAnsi="Arial" w:cs="Arial"/>
          <w:color w:val="2B3080"/>
          <w:spacing w:val="-5"/>
          <w:sz w:val="41"/>
          <w:szCs w:val="41"/>
          <w:lang w:eastAsia="fr-FR"/>
        </w:rPr>
        <w:t>i</w:t>
      </w:r>
      <w:r w:rsidRPr="00FF776F">
        <w:rPr>
          <w:rFonts w:ascii="Arial" w:eastAsia="Times New Roman" w:hAnsi="Arial" w:cs="Arial"/>
          <w:color w:val="2B3080"/>
          <w:spacing w:val="-5"/>
          <w:sz w:val="41"/>
          <w:szCs w:val="41"/>
          <w:lang w:eastAsia="fr-FR"/>
        </w:rPr>
        <w:t>mmixtion de la société mère </w:t>
      </w:r>
    </w:p>
    <w:p w:rsidR="00FF776F" w:rsidRDefault="00FF776F">
      <w:pPr>
        <w:rPr>
          <w:b/>
        </w:rPr>
      </w:pPr>
    </w:p>
    <w:p w:rsidR="00FF776F" w:rsidRDefault="00FF776F" w:rsidP="00FF776F">
      <w:pPr>
        <w:pStyle w:val="Titre1"/>
        <w:shd w:val="clear" w:color="auto" w:fill="FFFFFF"/>
        <w:rPr>
          <w:rFonts w:ascii="Arial Narrow" w:hAnsi="Arial Narrow"/>
          <w:color w:val="282323"/>
        </w:rPr>
      </w:pPr>
      <w:r>
        <w:rPr>
          <w:rStyle w:val="crayon"/>
          <w:rFonts w:ascii="Arial Narrow" w:hAnsi="Arial Narrow"/>
          <w:color w:val="282323"/>
        </w:rPr>
        <w:t>Licenciement économique : dans quel périmètre s’apprécient les difficultés économiques</w:t>
      </w:r>
      <w:r>
        <w:rPr>
          <w:rStyle w:val="crayon"/>
          <w:rFonts w:ascii="Arial Narrow" w:hAnsi="Arial Narrow"/>
          <w:b/>
          <w:bCs/>
          <w:color w:val="776767"/>
          <w:sz w:val="31"/>
          <w:szCs w:val="31"/>
        </w:rPr>
        <w:t> </w:t>
      </w:r>
      <w:r>
        <w:rPr>
          <w:rStyle w:val="crayon"/>
          <w:rFonts w:ascii="Arial Narrow" w:hAnsi="Arial Narrow"/>
          <w:color w:val="282323"/>
        </w:rPr>
        <w:t>?</w:t>
      </w:r>
    </w:p>
    <w:p w:rsidR="00FF776F" w:rsidRDefault="00FF776F">
      <w:pPr>
        <w:rPr>
          <w:b/>
        </w:rPr>
      </w:pPr>
    </w:p>
    <w:p w:rsidR="00225474" w:rsidRDefault="00225474">
      <w:pPr>
        <w:rPr>
          <w:b/>
        </w:rPr>
      </w:pPr>
      <w:hyperlink r:id="rId9" w:history="1">
        <w:r w:rsidRPr="004667C4">
          <w:rPr>
            <w:rStyle w:val="Lienhypertexte"/>
            <w:b/>
          </w:rPr>
          <w:t>https://derriennic.com/coemploi-une-preuve-toujours-difficile-mais-pas-impossible-a-rapporter/</w:t>
        </w:r>
      </w:hyperlink>
      <w:r>
        <w:rPr>
          <w:b/>
        </w:rPr>
        <w:t xml:space="preserve"> ++++</w:t>
      </w:r>
    </w:p>
    <w:p w:rsidR="00225474" w:rsidRDefault="00225474">
      <w:pPr>
        <w:rPr>
          <w:b/>
        </w:rPr>
      </w:pPr>
      <w:r>
        <w:rPr>
          <w:b/>
        </w:rPr>
        <w:t xml:space="preserve">réorganisation managériale : la direction n’y a pas pris part. </w:t>
      </w:r>
    </w:p>
    <w:p w:rsidR="00B46C5A" w:rsidRDefault="00B46C5A">
      <w:pPr>
        <w:rPr>
          <w:b/>
        </w:rPr>
      </w:pPr>
    </w:p>
    <w:p w:rsidR="00B46C5A" w:rsidRDefault="00B46C5A">
      <w:pPr>
        <w:rPr>
          <w:b/>
        </w:rPr>
      </w:pPr>
      <w:r>
        <w:rPr>
          <w:b/>
        </w:rPr>
        <w:t>un grade qui prend le pas sur celui de la convention collective</w:t>
      </w:r>
    </w:p>
    <w:p w:rsidR="00760101" w:rsidRPr="00EB7CE1" w:rsidRDefault="00760101">
      <w:pPr>
        <w:rPr>
          <w:b/>
        </w:rPr>
      </w:pPr>
      <w:r>
        <w:rPr>
          <w:b/>
        </w:rPr>
        <w:t>la politique sur les voitures de fonctions nous renvoit à un document en anglais qui a été établit au niveau europpeen</w:t>
      </w:r>
      <w:bookmarkStart w:id="0" w:name="_GoBack"/>
      <w:bookmarkEnd w:id="0"/>
    </w:p>
    <w:sectPr w:rsidR="00760101" w:rsidRPr="00EB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64"/>
    <w:rsid w:val="000004A3"/>
    <w:rsid w:val="00064594"/>
    <w:rsid w:val="00225474"/>
    <w:rsid w:val="00624409"/>
    <w:rsid w:val="006A5B6C"/>
    <w:rsid w:val="00760101"/>
    <w:rsid w:val="0091309C"/>
    <w:rsid w:val="00B46C5A"/>
    <w:rsid w:val="00B61464"/>
    <w:rsid w:val="00BE7CB3"/>
    <w:rsid w:val="00C20815"/>
    <w:rsid w:val="00EB7CE1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25BC-1832-41E2-9F0E-46111F23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7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F7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146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FF776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FF776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F77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rayon">
    <w:name w:val="crayon"/>
    <w:basedOn w:val="Policepardfaut"/>
    <w:rsid w:val="00FF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rn.info/revue-humanisme-et-entreprise-2013-2-page-3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rton-associes.fr/blog/droit-du-travail/responsabilite-societe-mere-licenciement-economique-filia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ocats-amado.net/perimetre-groupe-matiere-de-licenciement-cause-economiqu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erudit.org/fr/revues/mi/2012-v17-n1-mi0403/1013679ar.pdf" TargetMode="External"/><Relationship Id="rId9" Type="http://schemas.openxmlformats.org/officeDocument/2006/relationships/hyperlink" Target="https://derriennic.com/coemploi-une-preuve-toujours-difficile-mais-pas-impossible-a-rapport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2023-04-07T14:15:00Z</dcterms:created>
  <dcterms:modified xsi:type="dcterms:W3CDTF">2023-04-07T16:36:00Z</dcterms:modified>
</cp:coreProperties>
</file>